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彩虹粗仿宋" w:hAnsi="宋体" w:eastAsia="彩虹粗仿宋" w:cs="Arial"/>
          <w:sz w:val="24"/>
        </w:rPr>
      </w:pPr>
      <w:bookmarkStart w:id="0" w:name="OLE_LINK2"/>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b/>
          <w:sz w:val="44"/>
        </w:rPr>
      </w:pPr>
      <w:r>
        <w:rPr>
          <w:rFonts w:hint="eastAsia" w:ascii="彩虹粗仿宋" w:hAnsi="宋体" w:eastAsia="彩虹粗仿宋" w:cs="Arial"/>
          <w:b/>
          <w:sz w:val="44"/>
        </w:rPr>
        <w:t>上银丰泽混合型发起式证券投资基金</w:t>
      </w:r>
    </w:p>
    <w:p>
      <w:pPr>
        <w:adjustRightInd w:val="0"/>
        <w:snapToGrid w:val="0"/>
        <w:jc w:val="center"/>
        <w:rPr>
          <w:rFonts w:hint="eastAsia" w:ascii="彩虹粗仿宋" w:hAnsi="宋体" w:eastAsia="彩虹粗仿宋" w:cs="Arial"/>
          <w:b/>
          <w:sz w:val="44"/>
        </w:rPr>
      </w:pPr>
      <w:r>
        <w:rPr>
          <w:rFonts w:hint="eastAsia" w:ascii="彩虹粗仿宋" w:hAnsi="宋体" w:eastAsia="彩虹粗仿宋" w:cs="Arial"/>
          <w:b/>
          <w:sz w:val="44"/>
        </w:rPr>
        <w:t>托管协议</w:t>
      </w: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b/>
          <w:bCs/>
          <w:sz w:val="28"/>
        </w:rPr>
      </w:pPr>
      <w:r>
        <w:rPr>
          <w:rFonts w:hint="eastAsia" w:ascii="彩虹粗仿宋" w:hAnsi="宋体" w:eastAsia="彩虹粗仿宋" w:cs="Arial"/>
          <w:b/>
          <w:bCs/>
          <w:sz w:val="28"/>
        </w:rPr>
        <w:t>基金管理人：上银基金管理有限公司</w:t>
      </w:r>
    </w:p>
    <w:p>
      <w:pPr>
        <w:adjustRightInd w:val="0"/>
        <w:snapToGrid w:val="0"/>
        <w:jc w:val="center"/>
        <w:outlineLvl w:val="0"/>
        <w:rPr>
          <w:rFonts w:hint="eastAsia" w:ascii="彩虹粗仿宋" w:hAnsi="宋体" w:eastAsia="彩虹粗仿宋" w:cs="Arial"/>
          <w:b/>
          <w:bCs/>
          <w:sz w:val="28"/>
        </w:rPr>
      </w:pPr>
      <w:r>
        <w:rPr>
          <w:rFonts w:hint="eastAsia" w:ascii="彩虹粗仿宋" w:hAnsi="宋体" w:eastAsia="彩虹粗仿宋" w:cs="Arial"/>
          <w:b/>
          <w:bCs/>
          <w:sz w:val="28"/>
        </w:rPr>
        <w:t>基金托管人：中国建设银行股份有限公司</w:t>
      </w: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outlineLvl w:val="0"/>
        <w:rPr>
          <w:rFonts w:hint="eastAsia" w:ascii="彩虹粗仿宋" w:hAnsi="宋体" w:eastAsia="彩虹粗仿宋" w:cs="Arial"/>
          <w:sz w:val="24"/>
        </w:rPr>
      </w:pPr>
    </w:p>
    <w:p>
      <w:pPr>
        <w:adjustRightInd w:val="0"/>
        <w:snapToGrid w:val="0"/>
        <w:jc w:val="center"/>
        <w:rPr>
          <w:rFonts w:hint="eastAsia" w:ascii="彩虹粗仿宋" w:hAnsi="宋体" w:eastAsia="彩虹粗仿宋" w:cs="Arial"/>
          <w:bCs/>
          <w:sz w:val="24"/>
        </w:rPr>
      </w:pPr>
      <w:r>
        <w:rPr>
          <w:rFonts w:hint="eastAsia" w:ascii="彩虹粗仿宋" w:hAnsi="宋体" w:eastAsia="彩虹粗仿宋" w:cs="Arial"/>
          <w:sz w:val="24"/>
        </w:rPr>
        <w:t>二〇二五年</w:t>
      </w:r>
      <w:r>
        <w:rPr>
          <w:rFonts w:hint="eastAsia" w:ascii="彩虹粗仿宋" w:hAnsi="宋体" w:eastAsia="彩虹粗仿宋" w:cs="Arial"/>
          <w:sz w:val="24"/>
          <w:lang w:val="en-US" w:eastAsia="zh-CN"/>
        </w:rPr>
        <w:t>十二</w:t>
      </w:r>
      <w:bookmarkStart w:id="119" w:name="_GoBack"/>
      <w:bookmarkEnd w:id="119"/>
      <w:r>
        <w:rPr>
          <w:rFonts w:hint="eastAsia" w:ascii="彩虹粗仿宋" w:hAnsi="宋体" w:eastAsia="彩虹粗仿宋" w:cs="Arial"/>
          <w:sz w:val="24"/>
        </w:rPr>
        <w:t>月</w:t>
      </w:r>
    </w:p>
    <w:p>
      <w:pPr>
        <w:adjustRightInd w:val="0"/>
        <w:snapToGrid w:val="0"/>
        <w:jc w:val="center"/>
        <w:rPr>
          <w:rFonts w:hint="eastAsia" w:ascii="彩虹粗仿宋" w:hAnsi="宋体" w:eastAsia="彩虹粗仿宋" w:cs="Arial"/>
          <w:bCs/>
          <w:sz w:val="24"/>
        </w:rPr>
      </w:pPr>
    </w:p>
    <w:p>
      <w:pPr>
        <w:adjustRightInd w:val="0"/>
        <w:snapToGrid w:val="0"/>
        <w:jc w:val="center"/>
        <w:rPr>
          <w:rFonts w:hint="eastAsia" w:ascii="彩虹粗仿宋" w:hAnsi="宋体" w:eastAsia="彩虹粗仿宋" w:cs="Arial"/>
          <w:bCs/>
          <w:sz w:val="24"/>
        </w:rPr>
      </w:pPr>
    </w:p>
    <w:p>
      <w:pPr>
        <w:adjustRightInd w:val="0"/>
        <w:snapToGrid w:val="0"/>
        <w:jc w:val="center"/>
        <w:rPr>
          <w:rFonts w:hint="eastAsia" w:ascii="彩虹粗仿宋" w:hAnsi="宋体" w:eastAsia="彩虹粗仿宋" w:cs="Arial"/>
          <w:bCs/>
          <w:sz w:val="24"/>
        </w:rPr>
        <w:sectPr>
          <w:footerReference r:id="rId3" w:type="default"/>
          <w:footerReference r:id="rId4" w:type="even"/>
          <w:pgSz w:w="11906" w:h="16838"/>
          <w:pgMar w:top="1418" w:right="1701" w:bottom="1418" w:left="1701" w:header="851" w:footer="992" w:gutter="0"/>
          <w:cols w:space="720" w:num="1"/>
          <w:docGrid w:type="lines" w:linePitch="312" w:charSpace="0"/>
        </w:sectPr>
      </w:pPr>
    </w:p>
    <w:p>
      <w:pPr>
        <w:adjustRightInd w:val="0"/>
        <w:snapToGrid w:val="0"/>
        <w:rPr>
          <w:rFonts w:hint="eastAsia" w:ascii="彩虹粗仿宋" w:hAnsi="宋体" w:eastAsia="彩虹粗仿宋" w:cs="Arial"/>
          <w:bCs/>
          <w:sz w:val="24"/>
        </w:rPr>
      </w:pPr>
    </w:p>
    <w:p>
      <w:pPr>
        <w:jc w:val="center"/>
        <w:rPr>
          <w:rFonts w:ascii="彩虹粗仿宋" w:eastAsia="彩虹粗仿宋"/>
          <w:b/>
          <w:bCs/>
          <w:sz w:val="30"/>
        </w:rPr>
      </w:pPr>
      <w:r>
        <w:rPr>
          <w:rFonts w:hint="eastAsia" w:ascii="彩虹粗仿宋" w:eastAsia="彩虹粗仿宋"/>
          <w:b/>
          <w:bCs/>
          <w:sz w:val="30"/>
        </w:rPr>
        <w:t>目    录</w:t>
      </w:r>
    </w:p>
    <w:p>
      <w:pPr>
        <w:pStyle w:val="19"/>
        <w:tabs>
          <w:tab w:val="right" w:leader="dot" w:pos="8494"/>
        </w:tabs>
        <w:rPr>
          <w:rFonts w:hint="eastAsia" w:ascii="彩虹粗仿宋" w:hAnsi="宋体" w:eastAsia="彩虹粗仿宋"/>
          <w:sz w:val="28"/>
        </w:rPr>
      </w:pPr>
      <w:r>
        <w:rPr>
          <w:rFonts w:hint="eastAsia" w:ascii="彩虹粗仿宋" w:hAnsi="宋体" w:eastAsia="彩虹粗仿宋"/>
          <w:sz w:val="28"/>
        </w:rPr>
        <w:fldChar w:fldCharType="begin"/>
      </w:r>
      <w:r>
        <w:rPr>
          <w:rFonts w:hint="eastAsia" w:ascii="彩虹粗仿宋" w:hAnsi="宋体" w:eastAsia="彩虹粗仿宋"/>
          <w:sz w:val="28"/>
        </w:rPr>
        <w:instrText xml:space="preserve"> TOC \o "1-2" \h \z </w:instrText>
      </w:r>
      <w:r>
        <w:rPr>
          <w:rFonts w:hint="eastAsia" w:ascii="彩虹粗仿宋" w:hAnsi="宋体" w:eastAsia="彩虹粗仿宋"/>
          <w:sz w:val="28"/>
        </w:rPr>
        <w:fldChar w:fldCharType="separate"/>
      </w:r>
      <w:r>
        <w:fldChar w:fldCharType="begin"/>
      </w:r>
      <w:r>
        <w:instrText xml:space="preserve"> HYPERLINK \l "_Toc124325885" </w:instrText>
      </w:r>
      <w:r>
        <w:fldChar w:fldCharType="separate"/>
      </w:r>
      <w:r>
        <w:rPr>
          <w:rStyle w:val="29"/>
          <w:rFonts w:hint="eastAsia" w:ascii="彩虹粗仿宋" w:hAnsi="宋体" w:eastAsia="彩虹粗仿宋"/>
          <w:sz w:val="28"/>
          <w:szCs w:val="32"/>
        </w:rPr>
        <w:t>一、基金托管协议当</w:t>
      </w:r>
      <w:bookmarkStart w:id="1" w:name="_Hlt498420681"/>
      <w:bookmarkStart w:id="2" w:name="_Hlt498420680"/>
      <w:r>
        <w:rPr>
          <w:rStyle w:val="29"/>
          <w:rFonts w:hint="eastAsia" w:ascii="彩虹粗仿宋" w:hAnsi="宋体" w:eastAsia="彩虹粗仿宋"/>
          <w:sz w:val="28"/>
          <w:szCs w:val="32"/>
        </w:rPr>
        <w:t>事</w:t>
      </w:r>
      <w:bookmarkEnd w:id="1"/>
      <w:bookmarkEnd w:id="2"/>
      <w:r>
        <w:rPr>
          <w:rStyle w:val="29"/>
          <w:rFonts w:hint="eastAsia" w:ascii="彩虹粗仿宋" w:hAnsi="宋体" w:eastAsia="彩虹粗仿宋"/>
          <w:sz w:val="28"/>
          <w:szCs w:val="32"/>
        </w:rPr>
        <w:t>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_Toc124325885 \h </w:instrText>
      </w:r>
      <w:r>
        <w:rPr>
          <w:rFonts w:hint="eastAsia" w:ascii="彩虹粗仿宋" w:hAnsi="宋体" w:eastAsia="彩虹粗仿宋"/>
          <w:sz w:val="28"/>
        </w:rPr>
        <w:fldChar w:fldCharType="separate"/>
      </w:r>
      <w:r>
        <w:rPr>
          <w:rFonts w:hint="eastAsia" w:ascii="彩虹粗仿宋" w:hAnsi="宋体" w:eastAsia="彩虹粗仿宋"/>
          <w:sz w:val="28"/>
        </w:rPr>
        <w:t>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"_Toc124325886" </w:instrText>
      </w:r>
      <w:r>
        <w:fldChar w:fldCharType="separate"/>
      </w:r>
      <w:r>
        <w:rPr>
          <w:rStyle w:val="29"/>
          <w:rFonts w:hint="eastAsia" w:ascii="彩虹粗仿宋" w:hAnsi="宋体" w:eastAsia="彩虹粗仿宋"/>
          <w:sz w:val="28"/>
          <w:szCs w:val="32"/>
        </w:rPr>
        <w:t>二、基金托管协议的依据、目的和原则</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_Toc124325886 \h </w:instrText>
      </w:r>
      <w:r>
        <w:rPr>
          <w:rFonts w:hint="eastAsia" w:ascii="彩虹粗仿宋" w:hAnsi="宋体" w:eastAsia="彩虹粗仿宋"/>
          <w:sz w:val="28"/>
        </w:rPr>
        <w:fldChar w:fldCharType="separate"/>
      </w:r>
      <w:r>
        <w:rPr>
          <w:rFonts w:hint="eastAsia" w:ascii="彩虹粗仿宋" w:hAnsi="宋体" w:eastAsia="彩虹粗仿宋"/>
          <w:sz w:val="28"/>
        </w:rPr>
        <w:t>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"_Toc124325887" </w:instrText>
      </w:r>
      <w:r>
        <w:fldChar w:fldCharType="separate"/>
      </w:r>
      <w:r>
        <w:rPr>
          <w:rStyle w:val="29"/>
          <w:rFonts w:hint="eastAsia" w:ascii="彩虹粗仿宋" w:hAnsi="宋体" w:eastAsia="彩虹粗仿宋"/>
          <w:sz w:val="28"/>
          <w:szCs w:val="32"/>
        </w:rPr>
        <w:t>三、基金托管人对基金管理人的业务监督和核查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_Toc124325887 \h </w:instrText>
      </w:r>
      <w:r>
        <w:rPr>
          <w:rFonts w:hint="eastAsia" w:ascii="彩虹粗仿宋" w:hAnsi="宋体" w:eastAsia="彩虹粗仿宋"/>
          <w:sz w:val="28"/>
        </w:rPr>
        <w:fldChar w:fldCharType="separate"/>
      </w:r>
      <w:r>
        <w:rPr>
          <w:rFonts w:hint="eastAsia" w:ascii="彩虹粗仿宋" w:hAnsi="宋体" w:eastAsia="彩虹粗仿宋"/>
          <w:sz w:val="28"/>
        </w:rPr>
        <w:t>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"_Toc124325888" </w:instrText>
      </w:r>
      <w:r>
        <w:fldChar w:fldCharType="separate"/>
      </w:r>
      <w:r>
        <w:rPr>
          <w:rStyle w:val="29"/>
          <w:rFonts w:hint="eastAsia" w:ascii="彩虹粗仿宋" w:hAnsi="宋体" w:eastAsia="彩虹粗仿宋"/>
          <w:sz w:val="28"/>
          <w:szCs w:val="32"/>
        </w:rPr>
        <w:t>四、基金管理人对基金托管人的业务核查</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_Toc124325888 \h </w:instrText>
      </w:r>
      <w:r>
        <w:rPr>
          <w:rFonts w:hint="eastAsia" w:ascii="彩虹粗仿宋" w:hAnsi="宋体" w:eastAsia="彩虹粗仿宋"/>
          <w:sz w:val="28"/>
        </w:rPr>
        <w:fldChar w:fldCharType="separate"/>
      </w:r>
      <w:r>
        <w:rPr>
          <w:rFonts w:hint="eastAsia" w:ascii="彩虹粗仿宋" w:hAnsi="宋体" w:eastAsia="彩虹粗仿宋"/>
          <w:sz w:val="28"/>
        </w:rPr>
        <w:t>12</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"_Toc124325889" </w:instrText>
      </w:r>
      <w:r>
        <w:fldChar w:fldCharType="separate"/>
      </w:r>
      <w:r>
        <w:rPr>
          <w:rStyle w:val="29"/>
          <w:rFonts w:hint="eastAsia" w:ascii="彩虹粗仿宋" w:hAnsi="宋体" w:eastAsia="彩虹粗仿宋"/>
          <w:sz w:val="28"/>
          <w:szCs w:val="32"/>
        </w:rPr>
        <w:t>五、基金财产的保管</w:t>
      </w:r>
      <w:bookmarkStart w:id="3" w:name="_Hlt130398333"/>
      <w:bookmarkStart w:id="4" w:name="_Hlt130398332"/>
      <w:r>
        <w:rPr>
          <w:rFonts w:hint="eastAsia" w:ascii="彩虹粗仿宋" w:hAnsi="宋体" w:eastAsia="彩虹粗仿宋"/>
          <w:sz w:val="28"/>
        </w:rPr>
        <w:tab/>
      </w:r>
      <w:bookmarkEnd w:id="3"/>
      <w:bookmarkEnd w:id="4"/>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_Toc124325889 \h </w:instrText>
      </w:r>
      <w:r>
        <w:rPr>
          <w:rFonts w:hint="eastAsia" w:ascii="彩虹粗仿宋" w:hAnsi="宋体" w:eastAsia="彩虹粗仿宋"/>
          <w:sz w:val="28"/>
        </w:rPr>
        <w:fldChar w:fldCharType="separate"/>
      </w:r>
      <w:r>
        <w:rPr>
          <w:rFonts w:hint="eastAsia" w:ascii="彩虹粗仿宋" w:hAnsi="宋体" w:eastAsia="彩虹粗仿宋"/>
          <w:sz w:val="28"/>
        </w:rPr>
        <w:t>12</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"_Toc124325890" </w:instrText>
      </w:r>
      <w:r>
        <w:fldChar w:fldCharType="separate"/>
      </w:r>
      <w:r>
        <w:rPr>
          <w:rStyle w:val="29"/>
          <w:rFonts w:hint="eastAsia" w:ascii="彩虹粗仿宋" w:hAnsi="宋体" w:eastAsia="彩虹粗仿宋"/>
          <w:sz w:val="28"/>
          <w:szCs w:val="32"/>
        </w:rPr>
        <w:t>六、指令的发送、确认及执行</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_Toc124325890 \h </w:instrText>
      </w:r>
      <w:r>
        <w:rPr>
          <w:rFonts w:hint="eastAsia" w:ascii="彩虹粗仿宋" w:hAnsi="宋体" w:eastAsia="彩虹粗仿宋"/>
          <w:sz w:val="28"/>
        </w:rPr>
        <w:fldChar w:fldCharType="separate"/>
      </w:r>
      <w:r>
        <w:rPr>
          <w:rFonts w:hint="eastAsia" w:ascii="彩虹粗仿宋" w:hAnsi="宋体" w:eastAsia="彩虹粗仿宋"/>
          <w:sz w:val="28"/>
        </w:rPr>
        <w:t>15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"_Toc124325891" </w:instrText>
      </w:r>
      <w:r>
        <w:fldChar w:fldCharType="separate"/>
      </w:r>
      <w:r>
        <w:rPr>
          <w:rStyle w:val="29"/>
          <w:rFonts w:hint="eastAsia" w:ascii="彩虹粗仿宋" w:hAnsi="宋体" w:eastAsia="彩虹粗仿宋"/>
          <w:sz w:val="28"/>
          <w:szCs w:val="32"/>
        </w:rPr>
        <w:t>七、交易及清算</w:t>
      </w:r>
      <w:bookmarkStart w:id="5" w:name="_Hlt497143548"/>
      <w:bookmarkStart w:id="6" w:name="_Hlt497143549"/>
      <w:r>
        <w:rPr>
          <w:rStyle w:val="29"/>
          <w:rFonts w:hint="eastAsia" w:ascii="彩虹粗仿宋" w:hAnsi="宋体" w:eastAsia="彩虹粗仿宋"/>
          <w:sz w:val="28"/>
          <w:szCs w:val="32"/>
        </w:rPr>
        <w:t>交</w:t>
      </w:r>
      <w:bookmarkEnd w:id="5"/>
      <w:bookmarkEnd w:id="6"/>
      <w:r>
        <w:rPr>
          <w:rStyle w:val="29"/>
          <w:rFonts w:hint="eastAsia" w:ascii="彩虹粗仿宋" w:hAnsi="宋体" w:eastAsia="彩虹粗仿宋"/>
          <w:sz w:val="28"/>
          <w:szCs w:val="32"/>
        </w:rPr>
        <w:t>收安</w:t>
      </w:r>
      <w:bookmarkStart w:id="7" w:name="_Hlt419449173"/>
      <w:r>
        <w:rPr>
          <w:rStyle w:val="29"/>
          <w:rFonts w:hint="eastAsia" w:ascii="彩虹粗仿宋" w:hAnsi="宋体" w:eastAsia="彩虹粗仿宋"/>
          <w:sz w:val="28"/>
          <w:szCs w:val="32"/>
        </w:rPr>
        <w:t>排</w:t>
      </w:r>
      <w:bookmarkEnd w:id="7"/>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_Toc124325891 \h </w:instrText>
      </w:r>
      <w:r>
        <w:rPr>
          <w:rFonts w:hint="eastAsia" w:ascii="彩虹粗仿宋" w:hAnsi="宋体" w:eastAsia="彩虹粗仿宋"/>
          <w:sz w:val="28"/>
        </w:rPr>
        <w:fldChar w:fldCharType="separate"/>
      </w:r>
      <w:r>
        <w:rPr>
          <w:rFonts w:hint="eastAsia" w:ascii="彩虹粗仿宋" w:hAnsi="宋体" w:eastAsia="彩虹粗仿宋"/>
          <w:sz w:val="28"/>
        </w:rPr>
        <w:t>18</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"_Toc124325892" </w:instrText>
      </w:r>
      <w:r>
        <w:fldChar w:fldCharType="separate"/>
      </w:r>
      <w:r>
        <w:rPr>
          <w:rStyle w:val="29"/>
          <w:rFonts w:hint="eastAsia" w:ascii="彩虹粗仿宋" w:hAnsi="宋体" w:eastAsia="彩虹粗仿宋"/>
          <w:sz w:val="28"/>
          <w:szCs w:val="32"/>
        </w:rPr>
        <w:t>八、基金资产净值</w:t>
      </w:r>
      <w:bookmarkStart w:id="8" w:name="_Hlt419449178"/>
      <w:r>
        <w:rPr>
          <w:rStyle w:val="29"/>
          <w:rFonts w:hint="eastAsia" w:ascii="彩虹粗仿宋" w:hAnsi="宋体" w:eastAsia="彩虹粗仿宋"/>
          <w:sz w:val="28"/>
          <w:szCs w:val="32"/>
        </w:rPr>
        <w:t>计</w:t>
      </w:r>
      <w:bookmarkEnd w:id="8"/>
      <w:r>
        <w:rPr>
          <w:rStyle w:val="29"/>
          <w:rFonts w:hint="eastAsia" w:ascii="彩虹粗仿宋" w:hAnsi="宋体" w:eastAsia="彩虹粗仿宋"/>
          <w:sz w:val="28"/>
          <w:szCs w:val="32"/>
        </w:rPr>
        <w:t>算和会计核算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_Toc124325892 \h </w:instrText>
      </w:r>
      <w:r>
        <w:rPr>
          <w:rFonts w:hint="eastAsia" w:ascii="彩虹粗仿宋" w:hAnsi="宋体" w:eastAsia="彩虹粗仿宋"/>
          <w:sz w:val="28"/>
        </w:rPr>
        <w:fldChar w:fldCharType="separate"/>
      </w:r>
      <w:r>
        <w:rPr>
          <w:rFonts w:hint="eastAsia" w:ascii="彩虹粗仿宋" w:hAnsi="宋体" w:eastAsia="彩虹粗仿宋"/>
          <w:sz w:val="28"/>
        </w:rPr>
        <w:t>23</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"_Toc124325893" </w:instrText>
      </w:r>
      <w:r>
        <w:fldChar w:fldCharType="separate"/>
      </w:r>
      <w:r>
        <w:rPr>
          <w:rStyle w:val="29"/>
          <w:rFonts w:hint="eastAsia" w:ascii="彩虹粗仿宋" w:hAnsi="宋体" w:eastAsia="彩虹粗仿宋"/>
          <w:sz w:val="28"/>
          <w:szCs w:val="32"/>
        </w:rPr>
        <w:t>九、基金收</w:t>
      </w:r>
      <w:bookmarkStart w:id="9" w:name="_Hlt209163833"/>
      <w:r>
        <w:rPr>
          <w:rStyle w:val="29"/>
          <w:rFonts w:hint="eastAsia" w:ascii="彩虹粗仿宋" w:hAnsi="宋体" w:eastAsia="彩虹粗仿宋"/>
          <w:sz w:val="28"/>
          <w:szCs w:val="32"/>
        </w:rPr>
        <w:t>益</w:t>
      </w:r>
      <w:bookmarkEnd w:id="9"/>
      <w:r>
        <w:rPr>
          <w:rStyle w:val="29"/>
          <w:rFonts w:hint="eastAsia" w:ascii="彩虹粗仿宋" w:hAnsi="宋体" w:eastAsia="彩虹粗仿宋"/>
          <w:sz w:val="28"/>
          <w:szCs w:val="32"/>
        </w:rPr>
        <w:t>分配</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_Toc124325893 \h </w:instrText>
      </w:r>
      <w:r>
        <w:rPr>
          <w:rFonts w:hint="eastAsia" w:ascii="彩虹粗仿宋" w:hAnsi="宋体" w:eastAsia="彩虹粗仿宋"/>
          <w:sz w:val="28"/>
        </w:rPr>
        <w:fldChar w:fldCharType="separate"/>
      </w:r>
      <w:r>
        <w:rPr>
          <w:rFonts w:hint="eastAsia" w:ascii="彩虹粗仿宋" w:hAnsi="宋体" w:eastAsia="彩虹粗仿宋"/>
          <w:sz w:val="28"/>
        </w:rPr>
        <w:t>29</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"_Toc124325894" </w:instrText>
      </w:r>
      <w:r>
        <w:fldChar w:fldCharType="separate"/>
      </w:r>
      <w:r>
        <w:rPr>
          <w:rStyle w:val="29"/>
          <w:rFonts w:hint="eastAsia" w:ascii="彩虹粗仿宋" w:hAnsi="宋体" w:eastAsia="彩虹粗仿宋"/>
          <w:sz w:val="28"/>
          <w:szCs w:val="32"/>
        </w:rPr>
        <w:t>十、基金信息披露</w:t>
      </w:r>
      <w:bookmarkStart w:id="10" w:name="_Hlt209099632"/>
      <w:r>
        <w:rPr>
          <w:rFonts w:hint="eastAsia" w:ascii="彩虹粗仿宋" w:hAnsi="宋体" w:eastAsia="彩虹粗仿宋"/>
          <w:sz w:val="28"/>
        </w:rPr>
        <w:tab/>
      </w:r>
      <w:bookmarkEnd w:id="10"/>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_Toc124325894 \h </w:instrText>
      </w:r>
      <w:r>
        <w:rPr>
          <w:rFonts w:hint="eastAsia" w:ascii="彩虹粗仿宋" w:hAnsi="宋体" w:eastAsia="彩虹粗仿宋"/>
          <w:sz w:val="28"/>
        </w:rPr>
        <w:fldChar w:fldCharType="separate"/>
      </w:r>
      <w:r>
        <w:rPr>
          <w:rFonts w:hint="eastAsia" w:ascii="彩虹粗仿宋" w:hAnsi="宋体" w:eastAsia="彩虹粗仿宋"/>
          <w:sz w:val="28"/>
        </w:rPr>
        <w:t>30</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"_Toc124325895" </w:instrText>
      </w:r>
      <w:r>
        <w:fldChar w:fldCharType="separate"/>
      </w:r>
      <w:r>
        <w:rPr>
          <w:rStyle w:val="29"/>
          <w:rFonts w:hint="eastAsia" w:ascii="彩虹粗仿宋" w:hAnsi="宋体" w:eastAsia="彩虹粗仿宋"/>
          <w:sz w:val="28"/>
          <w:szCs w:val="32"/>
        </w:rPr>
        <w:t>十一、基金费用</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_Toc124325895 \h </w:instrText>
      </w:r>
      <w:r>
        <w:rPr>
          <w:rFonts w:hint="eastAsia" w:ascii="彩虹粗仿宋" w:hAnsi="宋体" w:eastAsia="彩虹粗仿宋"/>
          <w:sz w:val="28"/>
        </w:rPr>
        <w:fldChar w:fldCharType="separate"/>
      </w:r>
      <w:r>
        <w:rPr>
          <w:rFonts w:hint="eastAsia" w:ascii="彩虹粗仿宋" w:hAnsi="宋体" w:eastAsia="彩虹粗仿宋"/>
          <w:sz w:val="28"/>
        </w:rPr>
        <w:t>32</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"_Toc124325896" </w:instrText>
      </w:r>
      <w:r>
        <w:fldChar w:fldCharType="separate"/>
      </w:r>
      <w:r>
        <w:rPr>
          <w:rStyle w:val="29"/>
          <w:rFonts w:hint="eastAsia" w:ascii="彩虹粗仿宋" w:hAnsi="宋体" w:eastAsia="彩虹粗仿宋"/>
          <w:sz w:val="28"/>
          <w:szCs w:val="32"/>
        </w:rPr>
        <w:t>十二、基金份额持有人名册的保管</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_Toc124325896 \h </w:instrText>
      </w:r>
      <w:r>
        <w:rPr>
          <w:rFonts w:hint="eastAsia" w:ascii="彩虹粗仿宋" w:hAnsi="宋体" w:eastAsia="彩虹粗仿宋"/>
          <w:sz w:val="28"/>
        </w:rPr>
        <w:fldChar w:fldCharType="separate"/>
      </w:r>
      <w:r>
        <w:rPr>
          <w:rFonts w:hint="eastAsia" w:ascii="彩虹粗仿宋" w:hAnsi="宋体" w:eastAsia="彩虹粗仿宋"/>
          <w:sz w:val="28"/>
        </w:rPr>
        <w:t>34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"_Toc124325897" </w:instrText>
      </w:r>
      <w:r>
        <w:fldChar w:fldCharType="separate"/>
      </w:r>
      <w:r>
        <w:rPr>
          <w:rStyle w:val="29"/>
          <w:rFonts w:hint="eastAsia" w:ascii="彩虹粗仿宋" w:hAnsi="宋体" w:eastAsia="彩虹粗仿宋"/>
          <w:sz w:val="28"/>
          <w:szCs w:val="32"/>
        </w:rPr>
        <w:t>十三、基金有关文件档案的保存</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_Toc124325897 \h </w:instrText>
      </w:r>
      <w:r>
        <w:rPr>
          <w:rFonts w:hint="eastAsia" w:ascii="彩虹粗仿宋" w:hAnsi="宋体" w:eastAsia="彩虹粗仿宋"/>
          <w:sz w:val="28"/>
        </w:rPr>
        <w:fldChar w:fldCharType="separate"/>
      </w:r>
      <w:r>
        <w:rPr>
          <w:rFonts w:hint="eastAsia" w:ascii="彩虹粗仿宋" w:hAnsi="宋体" w:eastAsia="彩虹粗仿宋"/>
          <w:sz w:val="28"/>
        </w:rPr>
        <w:t>34</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"_Toc124325898" </w:instrText>
      </w:r>
      <w:r>
        <w:fldChar w:fldCharType="separate"/>
      </w:r>
      <w:r>
        <w:rPr>
          <w:rStyle w:val="29"/>
          <w:rFonts w:hint="eastAsia" w:ascii="彩虹粗仿宋" w:hAnsi="宋体" w:eastAsia="彩虹粗仿宋"/>
          <w:sz w:val="28"/>
          <w:szCs w:val="32"/>
        </w:rPr>
        <w:t>十四、基金管理人和基金托管人的更换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_Toc124325898 \h </w:instrText>
      </w:r>
      <w:r>
        <w:rPr>
          <w:rFonts w:hint="eastAsia" w:ascii="彩虹粗仿宋" w:hAnsi="宋体" w:eastAsia="彩虹粗仿宋"/>
          <w:sz w:val="28"/>
        </w:rPr>
        <w:fldChar w:fldCharType="separate"/>
      </w:r>
      <w:r>
        <w:rPr>
          <w:rFonts w:hint="eastAsia" w:ascii="彩虹粗仿宋" w:hAnsi="宋体" w:eastAsia="彩虹粗仿宋"/>
          <w:sz w:val="28"/>
        </w:rPr>
        <w:t>35</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"_Toc124325899" </w:instrText>
      </w:r>
      <w:r>
        <w:fldChar w:fldCharType="separate"/>
      </w:r>
      <w:r>
        <w:rPr>
          <w:rStyle w:val="29"/>
          <w:rFonts w:hint="eastAsia" w:ascii="彩虹粗仿宋" w:hAnsi="宋体" w:eastAsia="彩虹粗仿宋"/>
          <w:sz w:val="28"/>
          <w:szCs w:val="32"/>
        </w:rPr>
        <w:t>十五、禁止</w:t>
      </w:r>
      <w:bookmarkStart w:id="11" w:name="_Hlt133480886"/>
      <w:bookmarkStart w:id="12" w:name="_Hlt133480885"/>
      <w:r>
        <w:rPr>
          <w:rStyle w:val="29"/>
          <w:rFonts w:hint="eastAsia" w:ascii="彩虹粗仿宋" w:hAnsi="宋体" w:eastAsia="彩虹粗仿宋"/>
          <w:sz w:val="28"/>
          <w:szCs w:val="32"/>
        </w:rPr>
        <w:t>行</w:t>
      </w:r>
      <w:bookmarkEnd w:id="11"/>
      <w:bookmarkEnd w:id="12"/>
      <w:r>
        <w:rPr>
          <w:rStyle w:val="29"/>
          <w:rFonts w:hint="eastAsia" w:ascii="彩虹粗仿宋" w:hAnsi="宋体" w:eastAsia="彩虹粗仿宋"/>
          <w:sz w:val="28"/>
          <w:szCs w:val="32"/>
        </w:rPr>
        <w:t>为</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_Toc124325899 \h </w:instrText>
      </w:r>
      <w:r>
        <w:rPr>
          <w:rFonts w:hint="eastAsia" w:ascii="彩虹粗仿宋" w:hAnsi="宋体" w:eastAsia="彩虹粗仿宋"/>
          <w:sz w:val="28"/>
        </w:rPr>
        <w:fldChar w:fldCharType="separate"/>
      </w:r>
      <w:r>
        <w:rPr>
          <w:rFonts w:hint="eastAsia" w:ascii="彩虹粗仿宋" w:hAnsi="宋体" w:eastAsia="彩虹粗仿宋"/>
          <w:sz w:val="28"/>
        </w:rPr>
        <w:t>37</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"_Toc124325900" </w:instrText>
      </w:r>
      <w:r>
        <w:fldChar w:fldCharType="separate"/>
      </w:r>
      <w:r>
        <w:rPr>
          <w:rStyle w:val="29"/>
          <w:rFonts w:hint="eastAsia" w:ascii="彩虹粗仿宋" w:hAnsi="宋体" w:eastAsia="彩虹粗仿宋"/>
          <w:sz w:val="28"/>
          <w:szCs w:val="32"/>
        </w:rPr>
        <w:t>十六、托管协议的变更、终止与基金财产的清算</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_Toc124325900 \h </w:instrText>
      </w:r>
      <w:r>
        <w:rPr>
          <w:rFonts w:hint="eastAsia" w:ascii="彩虹粗仿宋" w:hAnsi="宋体" w:eastAsia="彩虹粗仿宋"/>
          <w:sz w:val="28"/>
        </w:rPr>
        <w:fldChar w:fldCharType="separate"/>
      </w:r>
      <w:r>
        <w:rPr>
          <w:rFonts w:hint="eastAsia" w:ascii="彩虹粗仿宋" w:hAnsi="宋体" w:eastAsia="彩虹粗仿宋"/>
          <w:sz w:val="28"/>
        </w:rPr>
        <w:t>38</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"_Toc124325901" </w:instrText>
      </w:r>
      <w:r>
        <w:fldChar w:fldCharType="separate"/>
      </w:r>
      <w:r>
        <w:rPr>
          <w:rStyle w:val="29"/>
          <w:rFonts w:hint="eastAsia" w:ascii="彩虹粗仿宋" w:hAnsi="宋体" w:eastAsia="彩虹粗仿宋"/>
          <w:sz w:val="28"/>
          <w:szCs w:val="32"/>
        </w:rPr>
        <w:t>十七、违约责任</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_Toc124325901 \h </w:instrText>
      </w:r>
      <w:r>
        <w:rPr>
          <w:rFonts w:hint="eastAsia" w:ascii="彩虹粗仿宋" w:hAnsi="宋体" w:eastAsia="彩虹粗仿宋"/>
          <w:sz w:val="28"/>
        </w:rPr>
        <w:fldChar w:fldCharType="separate"/>
      </w:r>
      <w:r>
        <w:rPr>
          <w:rFonts w:hint="eastAsia" w:ascii="彩虹粗仿宋" w:hAnsi="宋体" w:eastAsia="彩虹粗仿宋"/>
          <w:sz w:val="28"/>
        </w:rPr>
        <w:t>40</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"_Toc124325902" </w:instrText>
      </w:r>
      <w:r>
        <w:fldChar w:fldCharType="separate"/>
      </w:r>
      <w:r>
        <w:rPr>
          <w:rStyle w:val="29"/>
          <w:rFonts w:hint="eastAsia" w:ascii="彩虹粗仿宋" w:hAnsi="宋体" w:eastAsia="彩虹粗仿宋"/>
          <w:sz w:val="28"/>
          <w:szCs w:val="32"/>
        </w:rPr>
        <w:t>十八、争议解决方式</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_Toc124325902 \h </w:instrText>
      </w:r>
      <w:r>
        <w:rPr>
          <w:rFonts w:hint="eastAsia" w:ascii="彩虹粗仿宋" w:hAnsi="宋体" w:eastAsia="彩虹粗仿宋"/>
          <w:sz w:val="28"/>
        </w:rPr>
        <w:fldChar w:fldCharType="separate"/>
      </w:r>
      <w:r>
        <w:rPr>
          <w:rFonts w:hint="eastAsia" w:ascii="彩虹粗仿宋" w:hAnsi="宋体" w:eastAsia="彩虹粗仿宋"/>
          <w:sz w:val="28"/>
        </w:rPr>
        <w:t>40</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"_Toc124325903" </w:instrText>
      </w:r>
      <w:r>
        <w:fldChar w:fldCharType="separate"/>
      </w:r>
      <w:r>
        <w:rPr>
          <w:rStyle w:val="29"/>
          <w:rFonts w:hint="eastAsia" w:ascii="彩虹粗仿宋" w:hAnsi="宋体" w:eastAsia="彩虹粗仿宋"/>
          <w:sz w:val="28"/>
          <w:szCs w:val="32"/>
        </w:rPr>
        <w:t>十九、托管协议的效力</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_Toc124325903 \h </w:instrText>
      </w:r>
      <w:r>
        <w:rPr>
          <w:rFonts w:hint="eastAsia" w:ascii="彩虹粗仿宋" w:hAnsi="宋体" w:eastAsia="彩虹粗仿宋"/>
          <w:sz w:val="28"/>
        </w:rPr>
        <w:fldChar w:fldCharType="separate"/>
      </w:r>
      <w:r>
        <w:rPr>
          <w:rFonts w:hint="eastAsia" w:ascii="彩虹粗仿宋" w:hAnsi="宋体" w:eastAsia="彩虹粗仿宋"/>
          <w:sz w:val="28"/>
        </w:rPr>
        <w:t>41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"_Toc124325904" </w:instrText>
      </w:r>
      <w:r>
        <w:fldChar w:fldCharType="separate"/>
      </w:r>
      <w:r>
        <w:rPr>
          <w:rStyle w:val="29"/>
          <w:rFonts w:hint="eastAsia" w:ascii="彩虹粗仿宋" w:hAnsi="宋体" w:eastAsia="彩虹粗仿宋"/>
          <w:sz w:val="28"/>
          <w:szCs w:val="32"/>
        </w:rPr>
        <w:t>二十、其他事项</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_Toc124325904 \h </w:instrText>
      </w:r>
      <w:r>
        <w:rPr>
          <w:rFonts w:hint="eastAsia" w:ascii="彩虹粗仿宋" w:hAnsi="宋体" w:eastAsia="彩虹粗仿宋"/>
          <w:sz w:val="28"/>
        </w:rPr>
        <w:fldChar w:fldCharType="separate"/>
      </w:r>
      <w:r>
        <w:rPr>
          <w:rFonts w:hint="eastAsia" w:ascii="彩虹粗仿宋" w:hAnsi="宋体" w:eastAsia="彩虹粗仿宋"/>
          <w:sz w:val="28"/>
        </w:rPr>
        <w:t>41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pStyle w:val="19"/>
        <w:tabs>
          <w:tab w:val="right" w:leader="dot" w:pos="8494"/>
        </w:tabs>
        <w:rPr>
          <w:rFonts w:hint="eastAsia" w:ascii="彩虹粗仿宋" w:hAnsi="宋体" w:eastAsia="彩虹粗仿宋"/>
          <w:sz w:val="28"/>
        </w:rPr>
      </w:pPr>
      <w:r>
        <w:fldChar w:fldCharType="begin"/>
      </w:r>
      <w:r>
        <w:instrText xml:space="preserve"> HYPERLINK \l "_Toc124325905" </w:instrText>
      </w:r>
      <w:r>
        <w:fldChar w:fldCharType="separate"/>
      </w:r>
      <w:r>
        <w:rPr>
          <w:rStyle w:val="29"/>
          <w:rFonts w:hint="eastAsia" w:ascii="彩虹粗仿宋" w:hAnsi="宋体" w:eastAsia="彩虹粗仿宋"/>
          <w:sz w:val="28"/>
          <w:szCs w:val="32"/>
        </w:rPr>
        <w:t>二十一、托管协议的签订</w:t>
      </w:r>
      <w:r>
        <w:rPr>
          <w:rFonts w:hint="eastAsia" w:ascii="彩虹粗仿宋" w:hAnsi="宋体" w:eastAsia="彩虹粗仿宋"/>
          <w:sz w:val="28"/>
        </w:rPr>
        <w:tab/>
      </w:r>
      <w:r>
        <w:rPr>
          <w:rFonts w:hint="eastAsia" w:ascii="彩虹粗仿宋" w:hAnsi="宋体" w:eastAsia="彩虹粗仿宋"/>
          <w:sz w:val="28"/>
        </w:rPr>
        <w:fldChar w:fldCharType="begin"/>
      </w:r>
      <w:r>
        <w:rPr>
          <w:rFonts w:hint="eastAsia" w:ascii="彩虹粗仿宋" w:hAnsi="宋体" w:eastAsia="彩虹粗仿宋"/>
          <w:sz w:val="28"/>
        </w:rPr>
        <w:instrText xml:space="preserve"> PAGEREF _Toc124325905 \h </w:instrText>
      </w:r>
      <w:r>
        <w:rPr>
          <w:rFonts w:hint="eastAsia" w:ascii="彩虹粗仿宋" w:hAnsi="宋体" w:eastAsia="彩虹粗仿宋"/>
          <w:sz w:val="28"/>
        </w:rPr>
        <w:fldChar w:fldCharType="separate"/>
      </w:r>
      <w:r>
        <w:rPr>
          <w:rFonts w:hint="eastAsia" w:ascii="彩虹粗仿宋" w:hAnsi="宋体" w:eastAsia="彩虹粗仿宋"/>
          <w:sz w:val="28"/>
        </w:rPr>
        <w:t>41</w:t>
      </w:r>
      <w:r>
        <w:rPr>
          <w:rFonts w:hint="eastAsia" w:ascii="彩虹粗仿宋" w:hAnsi="宋体" w:eastAsia="彩虹粗仿宋"/>
          <w:sz w:val="28"/>
        </w:rPr>
        <w:fldChar w:fldCharType="end"/>
      </w:r>
      <w:r>
        <w:rPr>
          <w:rFonts w:hint="eastAsia" w:ascii="彩虹粗仿宋" w:hAnsi="宋体" w:eastAsia="彩虹粗仿宋"/>
          <w:sz w:val="28"/>
        </w:rPr>
        <w:fldChar w:fldCharType="end"/>
      </w:r>
    </w:p>
    <w:p>
      <w:pPr>
        <w:rPr>
          <w:rFonts w:ascii="彩虹粗仿宋" w:eastAsia="彩虹粗仿宋"/>
          <w:sz w:val="24"/>
        </w:rPr>
      </w:pPr>
      <w:r>
        <w:rPr>
          <w:rFonts w:hint="eastAsia" w:ascii="彩虹粗仿宋" w:hAnsi="宋体" w:eastAsia="彩虹粗仿宋"/>
          <w:sz w:val="28"/>
        </w:rPr>
        <w:fldChar w:fldCharType="end"/>
      </w:r>
    </w:p>
    <w:p>
      <w:pPr>
        <w:widowControl/>
        <w:adjustRightInd w:val="0"/>
        <w:snapToGrid w:val="0"/>
        <w:ind w:firstLine="480" w:firstLineChars="200"/>
        <w:rPr>
          <w:rFonts w:hint="eastAsia" w:ascii="彩虹粗仿宋" w:hAnsi="宋体" w:eastAsia="彩虹粗仿宋" w:cs="Arial"/>
          <w:kern w:val="0"/>
          <w:sz w:val="24"/>
        </w:rPr>
      </w:pPr>
      <w:r>
        <w:rPr>
          <w:rFonts w:hint="eastAsia" w:ascii="彩虹粗仿宋" w:hAnsi="宋体" w:eastAsia="彩虹粗仿宋" w:cs="Arial"/>
          <w:kern w:val="0"/>
          <w:sz w:val="24"/>
        </w:rPr>
        <w:br w:type="page"/>
      </w:r>
      <w:r>
        <w:rPr>
          <w:rFonts w:hint="eastAsia" w:ascii="彩虹粗仿宋" w:hAnsi="宋体" w:eastAsia="彩虹粗仿宋" w:cs="Arial"/>
          <w:kern w:val="0"/>
          <w:sz w:val="24"/>
        </w:rPr>
        <w:t>鉴于上银基金管理有限公司系一家依照中国法律合法成立并有效存续的有限责任公司，按照相关法律法规的规定具备担任基金管理人的资格和能力，拟募集发行上银丰泽混合型发起式证券投资基金；</w:t>
      </w:r>
    </w:p>
    <w:p>
      <w:pPr>
        <w:widowControl/>
        <w:adjustRightInd w:val="0"/>
        <w:snapToGrid w:val="0"/>
        <w:ind w:firstLine="480" w:firstLineChars="200"/>
        <w:rPr>
          <w:rFonts w:hint="eastAsia" w:ascii="彩虹粗仿宋" w:hAnsi="宋体" w:eastAsia="彩虹粗仿宋" w:cs="Arial"/>
          <w:kern w:val="0"/>
          <w:sz w:val="24"/>
        </w:rPr>
      </w:pPr>
      <w:r>
        <w:rPr>
          <w:rFonts w:hint="eastAsia" w:ascii="彩虹粗仿宋" w:hAnsi="宋体" w:eastAsia="彩虹粗仿宋" w:cs="Arial"/>
          <w:kern w:val="0"/>
          <w:sz w:val="24"/>
        </w:rPr>
        <w:t>鉴于中国建设银行股份有限公司系一家依照中国法律合法成立并有效存续的银行，按照相关法律法规的规定具备担任基金托管人的资格和能力；</w:t>
      </w:r>
    </w:p>
    <w:p>
      <w:pPr>
        <w:widowControl/>
        <w:adjustRightInd w:val="0"/>
        <w:snapToGrid w:val="0"/>
        <w:ind w:firstLine="480" w:firstLineChars="200"/>
        <w:rPr>
          <w:rFonts w:hint="eastAsia" w:ascii="彩虹粗仿宋" w:hAnsi="宋体" w:eastAsia="彩虹粗仿宋" w:cs="Arial"/>
          <w:kern w:val="0"/>
          <w:sz w:val="24"/>
        </w:rPr>
      </w:pPr>
      <w:r>
        <w:rPr>
          <w:rFonts w:hint="eastAsia" w:ascii="彩虹粗仿宋" w:hAnsi="宋体" w:eastAsia="彩虹粗仿宋" w:cs="Arial"/>
          <w:kern w:val="0"/>
          <w:sz w:val="24"/>
        </w:rPr>
        <w:t>鉴于上银基金管理有限公司拟担任上银丰泽混合型发起式证券投资基金的基金管理人，中国建设银行股份有限公司拟担任上银丰泽混合型发起式证券投资基金的基金托管人；</w:t>
      </w:r>
    </w:p>
    <w:p>
      <w:pPr>
        <w:widowControl/>
        <w:adjustRightInd w:val="0"/>
        <w:snapToGrid w:val="0"/>
        <w:ind w:firstLine="480" w:firstLineChars="200"/>
        <w:rPr>
          <w:rFonts w:hint="eastAsia" w:ascii="彩虹粗仿宋" w:hAnsi="宋体" w:eastAsia="彩虹粗仿宋" w:cs="Arial"/>
          <w:kern w:val="0"/>
          <w:sz w:val="24"/>
        </w:rPr>
      </w:pPr>
      <w:r>
        <w:rPr>
          <w:rFonts w:hint="eastAsia" w:ascii="彩虹粗仿宋" w:hAnsi="宋体" w:eastAsia="彩虹粗仿宋" w:cs="Arial"/>
          <w:kern w:val="0"/>
          <w:sz w:val="24"/>
        </w:rPr>
        <w:t>为明确上银丰泽混合型发起式证券投资基金的基金管理人和基金托管人之间的权利义务关系，特制订本托管协议；</w:t>
      </w:r>
    </w:p>
    <w:p>
      <w:pPr>
        <w:widowControl/>
        <w:adjustRightInd w:val="0"/>
        <w:snapToGrid w:val="0"/>
        <w:ind w:firstLine="480" w:firstLineChars="200"/>
        <w:rPr>
          <w:rFonts w:hint="eastAsia" w:ascii="彩虹粗仿宋" w:hAnsi="宋体" w:eastAsia="彩虹粗仿宋" w:cs="Arial"/>
          <w:kern w:val="0"/>
          <w:sz w:val="24"/>
          <w:lang w:val="en-GB"/>
        </w:rPr>
      </w:pPr>
      <w:r>
        <w:rPr>
          <w:rFonts w:hint="eastAsia" w:ascii="彩虹粗仿宋" w:hAnsi="宋体" w:eastAsia="彩虹粗仿宋" w:cs="Arial"/>
          <w:kern w:val="0"/>
          <w:sz w:val="24"/>
          <w:lang w:val="en-GB"/>
        </w:rPr>
        <w:t>除非另有约定，《</w:t>
      </w:r>
      <w:r>
        <w:rPr>
          <w:rFonts w:hint="eastAsia" w:ascii="彩虹粗仿宋" w:hAnsi="宋体" w:eastAsia="彩虹粗仿宋" w:cs="Arial"/>
          <w:kern w:val="0"/>
          <w:sz w:val="24"/>
        </w:rPr>
        <w:t>上银丰泽混合型发起式</w:t>
      </w:r>
      <w:r>
        <w:rPr>
          <w:rFonts w:hint="eastAsia" w:ascii="彩虹粗仿宋" w:hAnsi="宋体" w:eastAsia="彩虹粗仿宋" w:cs="Arial"/>
          <w:kern w:val="0"/>
          <w:sz w:val="24"/>
          <w:lang w:val="en-GB"/>
        </w:rPr>
        <w:t>证券投资基金基金合同》(以下简称“基金合同”)中定义的术语在用于本托管协议时应具有相同的含义；若有抵触应以《基金合同》为准，并依其</w:t>
      </w:r>
      <w:r>
        <w:rPr>
          <w:rFonts w:hint="eastAsia" w:ascii="彩虹粗仿宋" w:hAnsi="宋体" w:eastAsia="彩虹粗仿宋" w:cs="Arial"/>
          <w:kern w:val="0"/>
          <w:sz w:val="24"/>
        </w:rPr>
        <w:t>条款</w:t>
      </w:r>
      <w:r>
        <w:rPr>
          <w:rFonts w:hint="eastAsia" w:ascii="彩虹粗仿宋" w:hAnsi="宋体" w:eastAsia="彩虹粗仿宋" w:cs="Arial"/>
          <w:kern w:val="0"/>
          <w:sz w:val="24"/>
          <w:lang w:val="en-GB"/>
        </w:rPr>
        <w:t>解释。</w:t>
      </w:r>
    </w:p>
    <w:p>
      <w:pPr>
        <w:widowControl/>
        <w:adjustRightInd w:val="0"/>
        <w:snapToGrid w:val="0"/>
        <w:ind w:firstLine="480" w:firstLineChars="200"/>
        <w:rPr>
          <w:rFonts w:hint="eastAsia" w:ascii="彩虹粗仿宋" w:hAnsi="宋体" w:eastAsia="彩虹粗仿宋" w:cs="Arial"/>
          <w:kern w:val="0"/>
          <w:sz w:val="24"/>
          <w:lang w:val="en-GB"/>
        </w:rPr>
      </w:pPr>
      <w:r>
        <w:rPr>
          <w:rFonts w:hint="eastAsia" w:ascii="彩虹粗仿宋" w:hAnsi="宋体" w:eastAsia="彩虹粗仿宋" w:cs="Arial"/>
          <w:kern w:val="0"/>
          <w:sz w:val="24"/>
          <w:lang w:val="en-GB"/>
        </w:rPr>
        <w:t>若本基金实施侧袋机制的，侧袋机制实施期间的相关安排见基金合同和招募说明书的规定。</w:t>
      </w:r>
    </w:p>
    <w:p>
      <w:pPr>
        <w:rPr>
          <w:rFonts w:ascii="彩虹粗仿宋" w:eastAsia="彩虹粗仿宋"/>
          <w:sz w:val="24"/>
          <w:lang w:val="en-GB"/>
        </w:rPr>
      </w:pPr>
    </w:p>
    <w:p>
      <w:pPr>
        <w:pStyle w:val="2"/>
        <w:jc w:val="center"/>
        <w:rPr>
          <w:rFonts w:ascii="彩虹粗仿宋" w:eastAsia="彩虹粗仿宋"/>
        </w:rPr>
      </w:pPr>
      <w:bookmarkStart w:id="13" w:name="_Toc124325885"/>
      <w:r>
        <w:rPr>
          <w:rFonts w:hint="eastAsia" w:ascii="彩虹粗仿宋" w:eastAsia="彩虹粗仿宋"/>
        </w:rPr>
        <w:t>一、基金托管协议当事人</w:t>
      </w:r>
      <w:bookmarkEnd w:id="13"/>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（一）基金管理人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名称：上银基金管理有限公司</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住所：上海市浦东新区秀浦路2388号3幢528室</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办公地址：上海市浦东新区世纪大道1528号陆家嘴基金大厦9楼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法定代表人：武俊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成立日期：</w:t>
      </w:r>
      <w:r>
        <w:rPr>
          <w:rStyle w:val="50"/>
          <w:rFonts w:hint="eastAsia" w:ascii="彩虹粗仿宋" w:hAnsi="宋体" w:eastAsia="彩虹粗仿宋" w:cs="Arial"/>
          <w:sz w:val="24"/>
        </w:rPr>
        <w:t>2013年8月30日</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批准设立机关及批准设立文号：中国证监会证监许可[2013]1114号文</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组织形式：有限责任公司</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注册资本：3亿元人民币</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存续期间：持续经营</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经营范围：基金募集、基金销售、资产管理、特定客户资产管理和中国证监会许可的其他业务。【依法须经批准的项目，经相关部门批准后方可开展经营活动】</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（二）基金托管人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名称：中国建设银行股份有限公司(简称：中国建设银行)</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住所：北京市西城区金融大街25号</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办公地址：北京市西城区闹市口大街1号院1号楼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邮政编码：100033</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法定代表人：张金良</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成立日期：2004年09月17日</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基金托管业务批准文号：中国证监会证监基字[1998</w:t>
      </w:r>
      <w:bookmarkStart w:id="14" w:name="OLE_LINK3"/>
      <w:r>
        <w:rPr>
          <w:rFonts w:hint="eastAsia" w:ascii="彩虹粗仿宋" w:hAnsi="宋体" w:eastAsia="彩虹粗仿宋" w:cs="Arial"/>
          <w:sz w:val="24"/>
        </w:rPr>
        <w:t>]</w:t>
      </w:r>
      <w:bookmarkEnd w:id="14"/>
      <w:r>
        <w:rPr>
          <w:rFonts w:hint="eastAsia" w:ascii="彩虹粗仿宋" w:hAnsi="宋体" w:eastAsia="彩虹粗仿宋" w:cs="Arial"/>
          <w:sz w:val="24"/>
        </w:rPr>
        <w:t>12号</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组织形式：股份有限公司</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注册资本：</w:t>
      </w:r>
      <w:r>
        <w:rPr>
          <w:rFonts w:hint="eastAsia" w:ascii="彩虹粗仿宋" w:eastAsia="彩虹粗仿宋"/>
          <w:sz w:val="24"/>
        </w:rPr>
        <w:t>贰仟伍佰亿壹仟零玖拾柒万柒仟肆佰捌拾陆元整</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存续期间：持续经营</w:t>
      </w:r>
    </w:p>
    <w:p>
      <w:pPr>
        <w:tabs>
          <w:tab w:val="left" w:pos="540"/>
        </w:tabs>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rPr>
          <w:rFonts w:ascii="彩虹粗仿宋" w:eastAsia="彩虹粗仿宋"/>
          <w:sz w:val="24"/>
        </w:rPr>
      </w:pPr>
    </w:p>
    <w:p>
      <w:pPr>
        <w:pStyle w:val="2"/>
        <w:jc w:val="center"/>
        <w:rPr>
          <w:rFonts w:ascii="彩虹粗仿宋" w:eastAsia="彩虹粗仿宋"/>
          <w:sz w:val="30"/>
        </w:rPr>
      </w:pPr>
      <w:bookmarkStart w:id="15" w:name="_Toc124325886"/>
      <w:r>
        <w:rPr>
          <w:rFonts w:hint="eastAsia" w:ascii="彩虹粗仿宋" w:eastAsia="彩虹粗仿宋"/>
          <w:sz w:val="30"/>
        </w:rPr>
        <w:t>二、基金托管协议的依据、目的和原则</w:t>
      </w:r>
      <w:bookmarkEnd w:id="15"/>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（一）订立托管协议的依据</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本协议依据《中华人民共和国证券投资基金法》(以下简称“《基金法》”)等有关法律法规、《基金合同》及其他有关规定制订。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（二）订立托管协议的目的</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（三）订立托管协议的原则</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基金管理人和基金托管人本着平等自愿、诚实信用、充分保护基金份额持有人合法权益的原则，经协商一致，签订本协议。</w:t>
      </w:r>
    </w:p>
    <w:p>
      <w:pPr>
        <w:rPr>
          <w:rFonts w:ascii="彩虹粗仿宋" w:eastAsia="彩虹粗仿宋"/>
          <w:sz w:val="24"/>
        </w:rPr>
      </w:pPr>
    </w:p>
    <w:p>
      <w:pPr>
        <w:pStyle w:val="2"/>
        <w:jc w:val="center"/>
        <w:rPr>
          <w:rFonts w:ascii="彩虹粗仿宋" w:eastAsia="彩虹粗仿宋"/>
          <w:sz w:val="30"/>
        </w:rPr>
      </w:pPr>
      <w:bookmarkStart w:id="16" w:name="_Toc124325887"/>
      <w:r>
        <w:rPr>
          <w:rFonts w:hint="eastAsia" w:ascii="彩虹粗仿宋" w:eastAsia="彩虹粗仿宋"/>
          <w:sz w:val="30"/>
        </w:rPr>
        <w:t>三、基金托管人对基金管理人的业务监督和核查</w:t>
      </w:r>
      <w:bookmarkEnd w:id="16"/>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债、可交换债券、短期融资券（含超短期融资券）、政府支持债券、政府支持机构债券、中期票据等）、资产支持证券、债券回购、银行存款（包括定期存款、协议存款、通知存款等）、同业存单、现金等货币市场工具、信用衍生品、国债期货、股指期货、股票期权、经中国证监会依法核准或注册的公开募集证券投资基金（仅限于全市场的股票型ETF及基金管理人旗下的股票型基金、计入权益类资产的混合型基金，不包括QDII基金、香港互认基金、基金中基金、其他可投资公募基金的非基金中基金、货币市场基金、非本基金管理人管理的基金（全市场的股票型ETF除外））等，以及法律法规或中国证监会允许投资的其他金融工具（但须符合中国证监会的相关规定）。</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本基金可以根据相关法律法规的规定参与融资业务。</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如法律法规或监管机构以后允许基金投资其他品种，基金管理人在履行适当程序后，可以将其纳入投资范围。</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的投资组合比例为：本基金投资于股票、存托凭证、股票型基金、计入权益类资产的混合型基金及可转换债券、分离交易可转债、可交换债券资产的比例合计占基金资产的10%-30%，其中，投资于境内股票资产和A股ETF的比例合计不低于基金资产的10%；投资于港股通标的股票的比例不超过股票资产的50%；本基金持有其他基金，其市值不超过基金资产净值的10%；每个交易日日终在扣除国债期货合约、股指期货合约和股票期权合约需缴纳的交易保证金后，本基金持有的现金或者到期日在一年以内的政府债券不低于基金资产净值的5%，其中现金不包括结算备付金、存出保证金、应收申购款等。其中，计入上述权益类资产的混合型基金需符合下列两个条件之一：</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1、基金合同约定股票及存托凭证资产投资比例不低于基金资产60%的混合型基金；</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2、根据基金披露的定期报告，最近四个季度中任一季度股票及存托凭证资产占基金资产比例均不低于60%的混合型基金。</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如果法律法规或中国证监会变更投资品种的投资比例限制，本基金管理人在履行适当程序后，可对上述投资比例进行调整。</w:t>
      </w:r>
    </w:p>
    <w:p>
      <w:pPr>
        <w:adjustRightInd w:val="0"/>
        <w:snapToGrid w:val="0"/>
        <w:ind w:firstLine="480" w:firstLineChars="200"/>
        <w:rPr>
          <w:rFonts w:ascii="彩虹粗仿宋" w:eastAsia="彩虹粗仿宋"/>
          <w:sz w:val="24"/>
        </w:rPr>
      </w:pPr>
      <w:r>
        <w:rPr>
          <w:rFonts w:hint="eastAsia" w:ascii="彩虹粗仿宋" w:eastAsia="彩虹粗仿宋"/>
          <w:sz w:val="24"/>
        </w:rPr>
        <w:t>（二）基金托管人根据有关法律法规的规定及《基金合同》的约定，对基金投资、融资比例进行监督。基金托管人按下述比例和调整期限进行监督：</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本基金投资于股票、存托凭证、股票型基金、计入权益类资产的混合型基金及可转换债券、分离交易可转债、可交换债券资产的比例合计占基金资产的10%-30%，其中，投资于境内股票资产和A股ETF的比例合计不低于基金资产的10%；投资于港股通标的股票的比例不超过股票资产的50%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2、每个交易日日终，在扣除国债期货合约、股指期货合约和股票期权合约需缴纳的交易保证金后，本基金持有现金或者到期日在一年以内的政府债券不低于基金资产净值的5%，其中现金不包括结算备付金、存出保证金、应收申购款等；</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3、本基金持有一家公司发行的证券（不含本基金所投资的基金份额，同一家公司在内地和香港同时上市的A+H股合并计算），其市值不超过基金资产净值的10%；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4、本基金管理人管理的</w:t>
      </w:r>
      <w:r>
        <w:rPr>
          <w:rFonts w:hint="eastAsia" w:ascii="彩虹粗仿宋" w:eastAsia="彩虹粗仿宋"/>
          <w:sz w:val="24"/>
        </w:rPr>
        <w:t>且在本基金托管人处托管的</w:t>
      </w:r>
      <w:r>
        <w:rPr>
          <w:rFonts w:hint="eastAsia" w:ascii="彩虹粗仿宋" w:eastAsia="彩虹粗仿宋"/>
          <w:iCs/>
          <w:sz w:val="24"/>
        </w:rPr>
        <w:t>全部基金持有一家公司发行的证券（不含本基金所投资的基金份额，同一家公司在内地和香港同时上市的A+H股合并计算），不超过该证券的10%，完全按照有关指数的构成比例进行证券投资的基金品种可以不受此条款规定的比例限制；</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5、本基金投资于同一原始权益人的各类资产支持证券的比例，不得超过基金资产净值的10%；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6、本基金持有的全部资产支持证券，其市值不得超过基金资产净值的20%；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7、本基金持有的同一（指同一信用级别）资产支持证券的比例，不得超过该资产支持证券规模的10%；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8、本基金管理人管理的</w:t>
      </w:r>
      <w:r>
        <w:rPr>
          <w:rFonts w:hint="eastAsia" w:ascii="彩虹粗仿宋" w:eastAsia="彩虹粗仿宋"/>
          <w:sz w:val="24"/>
        </w:rPr>
        <w:t>且在本基金托管人处托管的</w:t>
      </w:r>
      <w:r>
        <w:rPr>
          <w:rFonts w:hint="eastAsia" w:ascii="彩虹粗仿宋" w:eastAsia="彩虹粗仿宋"/>
          <w:iCs/>
          <w:sz w:val="24"/>
        </w:rPr>
        <w:t>全部基金投资于同一原始权益人的各类资产支持证券，不得超过其各类资产支持证券合计规模的10%；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9、本基金总资产不得超过基金净资产的140%；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10、基金财产参与股票发行申购，本基金所申报的金额不超过本基金的总资产，本基金所申报的股票数量不超过拟发行股票公司本次发行股票的总量；</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11、本基金投资存托凭证的比例限制依照境内上市交易的股票执行，与境内上市交易的股票合并计算；</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12、本基金投资于公开募集证券投资基金的市值不超过基金资产净值的10%；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13、本基金管理人管理的</w:t>
      </w:r>
      <w:r>
        <w:rPr>
          <w:rFonts w:hint="eastAsia" w:ascii="彩虹粗仿宋" w:eastAsia="彩虹粗仿宋"/>
          <w:sz w:val="24"/>
        </w:rPr>
        <w:t>且在本基金托管人处托管的</w:t>
      </w:r>
      <w:r>
        <w:rPr>
          <w:rFonts w:hint="eastAsia" w:ascii="彩虹粗仿宋" w:eastAsia="彩虹粗仿宋"/>
          <w:iCs/>
          <w:sz w:val="24"/>
        </w:rPr>
        <w:t>全部基金（ETF联接基金除外）持有单只基金不得超过被投资基金净资产的20%，被投资基金净资产规模以最近定期报告披露的规模为准；</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14、本基金投资其他基金时，被投资基金的运作期限应当不少于1年，最近定期报告披露的基金净资产应当不低于1亿元；</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15、若本基金投资于股指期货，还应遵循如下投资组合限制：</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①在任何交易日日终，持有的买入股指期货合约价值不得超过基金资产净值的10%；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②在任何交易日日终，持有的买入国债期货和股指期货合约价值与有价证券市值之和，不得超过基金资产净值的 95%。其中，有价证券指股票、债券（不含到期日在一年以内的政府债券）、资产支持证券、买入返售金融资产（不含质押式回购）等；</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③在任何交易日日终，持有的卖出股指期货合约价值不得超过基金持有的股票总市值的 20%；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④本基金所持有的股票市值和买入、卖出股指期货合约价值，合计（轧差计算）应当符合《基金合同》关于股票投资比例的有关规定；</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⑤在任何交易日内交易（不包括平仓）的股指期货合约的成交金额不得超过上一交易日基金资产净值的 20%；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16、若本基金投资于国债期货，还应遵循如下投资组合限制：</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①在任何交易日日终，本基金持有的买入国债期货合约价值，不得超过基金资产净值的 15%；</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②在任何交易日日终，持有的买入国债期货和股指期货合约价值与有价证券市值之和，不得超过基金资产净值的 95%。其中，有价证券指股票、债券（不含到期日在一年以内的政府债券）、资产支持证券、买入返售金融资产（不含质押式回购）等；</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③本基金在任何交易日日终，持有的卖出国债期货合约价值不得超过基金持有的债券总市值的 30%；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④本基金在任何交易日内交易（不包括平仓）的国债期货合约的成交金额不得超过上一交易日基金资产净值的 30%；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17、若本基金参与股票期权交易，应当遵守下列要求：</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①本基金因未平仓的期权合约支付和收取的权利金总额不得超过基金资产净值的 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②本基金未平仓的期权合约面值不得超过基金资产净值的 20%。其中，合约面值按照行权价乘以合约乘数计算；</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18、本基金若参与融资业务的，每个交易日日终，本基金持有的融资买入股票与其他有价证券市值之和，不得超过基金资产净值的95%；</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19、本基金管理人管理的</w:t>
      </w:r>
      <w:r>
        <w:rPr>
          <w:rFonts w:hint="eastAsia" w:ascii="彩虹粗仿宋" w:eastAsia="彩虹粗仿宋"/>
          <w:sz w:val="24"/>
        </w:rPr>
        <w:t>且在本基金托管人处托管的</w:t>
      </w:r>
      <w:r>
        <w:rPr>
          <w:rFonts w:hint="eastAsia" w:ascii="彩虹粗仿宋" w:eastAsia="彩虹粗仿宋"/>
          <w:iCs/>
          <w:sz w:val="24"/>
        </w:rPr>
        <w:t>全部开放式基金持有一家上市公司发行的可流通股票，不得超过该上市公司可流通股票的15%；本基金管理人管理的</w:t>
      </w:r>
      <w:r>
        <w:rPr>
          <w:rFonts w:hint="eastAsia" w:ascii="彩虹粗仿宋" w:eastAsia="彩虹粗仿宋"/>
          <w:sz w:val="24"/>
        </w:rPr>
        <w:t>且在本基金托管人处托管的</w:t>
      </w:r>
      <w:r>
        <w:rPr>
          <w:rFonts w:hint="eastAsia" w:ascii="彩虹粗仿宋" w:eastAsia="彩虹粗仿宋"/>
          <w:iCs/>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20、本基金主动投资于流动性受限资产（含封闭运作基金、定期开放基金等流通受限基金）的市值合计不得超过基金资产净值的15%。因证券市场波动、上市公司股票停牌、基金规模变动等基金管理人之外的因素致使基金不符合前款所规定比例限制的，基金管理人不得主动新增流动性受限资产的投资；</w:t>
      </w:r>
    </w:p>
    <w:p>
      <w:pPr>
        <w:adjustRightInd w:val="0"/>
        <w:snapToGrid w:val="0"/>
        <w:ind w:firstLine="480" w:firstLineChars="200"/>
        <w:rPr>
          <w:rFonts w:ascii="彩虹粗仿宋" w:eastAsia="彩虹粗仿宋"/>
          <w:sz w:val="24"/>
        </w:rPr>
      </w:pPr>
      <w:r>
        <w:rPr>
          <w:rFonts w:hint="eastAsia" w:ascii="彩虹粗仿宋" w:eastAsia="彩虹粗仿宋"/>
          <w:iCs/>
          <w:sz w:val="24"/>
        </w:rPr>
        <w:t>21、法律法规及中国证监会规定的和《基金合同》约定的其他投资限制。</w:t>
      </w:r>
    </w:p>
    <w:p>
      <w:pPr>
        <w:adjustRightInd w:val="0"/>
        <w:snapToGrid w:val="0"/>
        <w:ind w:firstLine="480" w:firstLineChars="200"/>
        <w:rPr>
          <w:rFonts w:ascii="彩虹粗仿宋" w:eastAsia="彩虹粗仿宋"/>
          <w:sz w:val="24"/>
        </w:rPr>
      </w:pPr>
      <w:r>
        <w:rPr>
          <w:rFonts w:hint="eastAsia" w:ascii="彩虹粗仿宋" w:eastAsia="彩虹粗仿宋"/>
          <w:sz w:val="24"/>
        </w:rPr>
        <w:t>因证券市场波动、基金规模变动等基金管理人之外的因素致使基金投资不符合上述12、13规定的投资比例的，基金管理人应当在20个交易日内进行调整，但中国证监会规定的特殊情形除外。除上述第2、12、13、20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ind w:firstLine="480" w:firstLineChars="200"/>
        <w:rPr>
          <w:rFonts w:ascii="彩虹粗仿宋" w:eastAsia="彩虹粗仿宋"/>
          <w:sz w:val="24"/>
        </w:rPr>
      </w:pPr>
      <w:r>
        <w:rPr>
          <w:rFonts w:hint="eastAsia" w:ascii="彩虹粗仿宋" w:eastAsia="彩虹粗仿宋"/>
          <w:sz w:val="24"/>
        </w:rPr>
        <w:t>基金管理人应当自基金合同生效之日起六个月内使基金的投资组合比例符合基金合同的有关约定。在上述期间内，本基金的投资范围、投资策略应当符合基金合同的约定。基金托管人对基金的投资的监督与检查自基金合同生效之日起开始。</w:t>
      </w:r>
    </w:p>
    <w:p>
      <w:pPr>
        <w:adjustRightInd w:val="0"/>
        <w:snapToGrid w:val="0"/>
        <w:ind w:firstLine="480" w:firstLineChars="200"/>
        <w:rPr>
          <w:rFonts w:ascii="彩虹粗仿宋" w:eastAsia="彩虹粗仿宋"/>
          <w:sz w:val="24"/>
        </w:rPr>
      </w:pPr>
      <w:r>
        <w:rPr>
          <w:rFonts w:hint="eastAsia" w:ascii="彩虹粗仿宋" w:eastAsia="彩虹粗仿宋"/>
          <w:sz w:val="24"/>
        </w:rPr>
        <w:t>法律法规或监管部门取消或调整上述限制，如适用于本基金，基金管理人在履行适当程序后，则本基金投资不再受相关限制或以变更后的规定为准，但须提前公告。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（三）基金托管人</w:t>
      </w:r>
      <w:bookmarkStart w:id="17" w:name="OLE_LINK1"/>
      <w:r>
        <w:rPr>
          <w:rFonts w:hint="eastAsia" w:ascii="彩虹粗仿宋" w:hAnsi="宋体" w:eastAsia="彩虹粗仿宋" w:cs="Arial"/>
          <w:sz w:val="24"/>
        </w:rPr>
        <w:t>根据有关法律法规的规定及《基金合同》的约定，</w:t>
      </w:r>
      <w:bookmarkEnd w:id="17"/>
      <w:r>
        <w:rPr>
          <w:rFonts w:hint="eastAsia" w:ascii="彩虹粗仿宋" w:hAnsi="宋体" w:eastAsia="彩虹粗仿宋" w:cs="Arial"/>
          <w:sz w:val="24"/>
        </w:rPr>
        <w:t>对本托管协议第十五条第（九）款基金投资禁止行为通过事后监督方式进行监督。</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本基金投资基金管理人或基金管理人关联方管理的基金的情况，不属于前述重大关联交易，但是应当按照法律法规或监管规定的要求履行信息披露义务。</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（四）基金托管人根据有关法律法规的规定及《基金合同》的约定，对基金管理人投资流通受限证券进行监督。</w:t>
      </w:r>
    </w:p>
    <w:p>
      <w:pPr>
        <w:adjustRightInd w:val="0"/>
        <w:snapToGrid w:val="0"/>
        <w:ind w:firstLine="480" w:firstLineChars="200"/>
        <w:rPr>
          <w:rFonts w:hint="eastAsia" w:ascii="彩虹粗仿宋" w:hAnsi="宋体" w:eastAsia="彩虹粗仿宋" w:cs="Arial"/>
          <w:sz w:val="24"/>
        </w:rPr>
      </w:pPr>
      <w:r>
        <w:rPr>
          <w:rFonts w:hint="eastAsia" w:ascii="彩虹粗仿宋" w:eastAsia="彩虹粗仿宋"/>
          <w:sz w:val="24"/>
        </w:rPr>
        <w:t>基金管理人投资流通受限证券，应事先根据中国证监会相关规定，明确基金投资流通受限证券的比例，</w:t>
      </w:r>
      <w:r>
        <w:rPr>
          <w:rFonts w:hint="eastAsia" w:ascii="彩虹粗仿宋" w:hAnsi="宋体" w:eastAsia="彩虹粗仿宋" w:cs="Arial"/>
          <w:sz w:val="24"/>
        </w:rPr>
        <w:t>制订严格的投资决策流程和风险控制制度，防范流动性风险、法律风险和操作风险等各种风险。</w:t>
      </w:r>
    </w:p>
    <w:p>
      <w:pPr>
        <w:adjustRightInd w:val="0"/>
        <w:snapToGrid w:val="0"/>
        <w:ind w:firstLine="480" w:firstLineChars="200"/>
        <w:rPr>
          <w:rFonts w:ascii="彩虹粗仿宋" w:eastAsia="彩虹粗仿宋"/>
          <w:sz w:val="24"/>
        </w:rPr>
      </w:pPr>
      <w:r>
        <w:rPr>
          <w:rFonts w:hint="eastAsia" w:ascii="彩虹粗仿宋" w:eastAsia="彩虹粗仿宋"/>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napToGrid w:val="0"/>
        <w:ind w:firstLine="480" w:firstLineChars="200"/>
        <w:rPr>
          <w:rFonts w:ascii="彩虹粗仿宋" w:eastAsia="彩虹粗仿宋"/>
          <w:sz w:val="24"/>
        </w:rPr>
      </w:pPr>
      <w:r>
        <w:rPr>
          <w:rFonts w:hint="eastAsia" w:ascii="彩虹粗仿宋" w:eastAsia="彩虹粗仿宋"/>
          <w:sz w:val="24"/>
        </w:rPr>
        <w:t>本基金投资的流通受限证券限于可由中国证券登记结算有限责任公司或中央国债登记结算有限责任公司负责登记和存管，并可在证券交易所或全国银行间债券市场交易的证券。</w:t>
      </w:r>
    </w:p>
    <w:p>
      <w:pPr>
        <w:adjustRightInd w:val="0"/>
        <w:snapToGrid w:val="0"/>
        <w:ind w:firstLine="480" w:firstLineChars="200"/>
        <w:rPr>
          <w:rFonts w:ascii="彩虹粗仿宋" w:eastAsia="彩虹粗仿宋"/>
          <w:sz w:val="24"/>
        </w:rPr>
      </w:pPr>
      <w:r>
        <w:rPr>
          <w:rFonts w:hint="eastAsia" w:ascii="彩虹粗仿宋" w:eastAsia="彩虹粗仿宋"/>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w:t>
      </w:r>
      <w:r>
        <w:rPr>
          <w:rFonts w:hint="eastAsia" w:ascii="彩虹粗仿宋" w:eastAsia="彩虹粗仿宋"/>
          <w:sz w:val="24"/>
        </w:rPr>
        <w:t>投资流通受限证券，不得预付任何形式的保证金。</w:t>
      </w:r>
      <w:r>
        <w:rPr>
          <w:rFonts w:hint="eastAsia" w:ascii="彩虹粗仿宋" w:hAnsi="宋体" w:eastAsia="彩虹粗仿宋" w:cs="Arial"/>
          <w:sz w:val="24"/>
        </w:rPr>
        <w:t>若有最新法律法规、监管政策变更规定的，根据最新法律法规、监管政策执行。</w:t>
      </w:r>
    </w:p>
    <w:p>
      <w:pPr>
        <w:snapToGrid w:val="0"/>
        <w:ind w:firstLine="480" w:firstLineChars="200"/>
        <w:rPr>
          <w:rFonts w:ascii="彩虹粗仿宋" w:eastAsia="彩虹粗仿宋"/>
          <w:sz w:val="24"/>
        </w:rPr>
      </w:pPr>
      <w:r>
        <w:rPr>
          <w:rFonts w:hint="eastAsia" w:ascii="彩虹粗仿宋" w:hAnsi="宋体" w:eastAsia="彩虹粗仿宋" w:cs="Arial"/>
          <w:sz w:val="24"/>
        </w:rPr>
        <w:t>2.</w:t>
      </w:r>
      <w:r>
        <w:rPr>
          <w:rFonts w:hint="eastAsia" w:ascii="彩虹粗仿宋" w:eastAsia="彩虹粗仿宋"/>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pPr>
        <w:snapToGrid w:val="0"/>
        <w:ind w:firstLine="480" w:firstLineChars="200"/>
        <w:rPr>
          <w:rFonts w:ascii="彩虹粗仿宋" w:eastAsia="彩虹粗仿宋"/>
          <w:sz w:val="24"/>
        </w:rPr>
      </w:pPr>
      <w:r>
        <w:rPr>
          <w:rFonts w:hint="eastAsia" w:ascii="彩虹粗仿宋" w:eastAsia="彩虹粗仿宋"/>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pPr>
        <w:snapToGrid w:val="0"/>
        <w:ind w:firstLine="480" w:firstLineChars="200"/>
        <w:rPr>
          <w:rFonts w:ascii="彩虹粗仿宋" w:eastAsia="彩虹粗仿宋"/>
          <w:sz w:val="24"/>
        </w:rPr>
      </w:pPr>
      <w:r>
        <w:rPr>
          <w:rFonts w:hint="eastAsia" w:ascii="彩虹粗仿宋" w:hAnsi="宋体" w:eastAsia="彩虹粗仿宋" w:cs="Arial"/>
          <w:sz w:val="24"/>
        </w:rPr>
        <w:t>3.</w:t>
      </w:r>
      <w:r>
        <w:rPr>
          <w:rFonts w:hint="eastAsia" w:ascii="彩虹粗仿宋" w:eastAsia="彩虹粗仿宋"/>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pPr>
        <w:snapToGrid w:val="0"/>
        <w:ind w:firstLine="480" w:firstLineChars="200"/>
        <w:rPr>
          <w:rFonts w:ascii="彩虹粗仿宋" w:eastAsia="彩虹粗仿宋"/>
          <w:sz w:val="24"/>
        </w:rPr>
      </w:pPr>
      <w:r>
        <w:rPr>
          <w:rFonts w:hint="eastAsia" w:ascii="彩虹粗仿宋" w:eastAsia="彩虹粗仿宋"/>
          <w:sz w:val="24"/>
        </w:rPr>
        <w:t>（1）中国证监会批准发行非公开发行股票的批准文件。</w:t>
      </w:r>
    </w:p>
    <w:p>
      <w:pPr>
        <w:snapToGrid w:val="0"/>
        <w:ind w:firstLine="480" w:firstLineChars="200"/>
        <w:rPr>
          <w:rFonts w:ascii="彩虹粗仿宋" w:eastAsia="彩虹粗仿宋"/>
          <w:sz w:val="24"/>
        </w:rPr>
      </w:pPr>
      <w:r>
        <w:rPr>
          <w:rFonts w:hint="eastAsia" w:ascii="彩虹粗仿宋" w:eastAsia="彩虹粗仿宋"/>
          <w:sz w:val="24"/>
        </w:rPr>
        <w:t>（2）非公开发行股票有关发行数量、发行价格、锁定期等发行资料。</w:t>
      </w:r>
    </w:p>
    <w:p>
      <w:pPr>
        <w:adjustRightInd w:val="0"/>
        <w:snapToGrid w:val="0"/>
        <w:ind w:firstLine="480" w:firstLineChars="200"/>
        <w:rPr>
          <w:rFonts w:hint="eastAsia" w:ascii="彩虹粗仿宋" w:hAnsi="宋体" w:eastAsia="彩虹粗仿宋" w:cs="Arial"/>
          <w:sz w:val="24"/>
        </w:rPr>
      </w:pPr>
      <w:r>
        <w:rPr>
          <w:rFonts w:hint="eastAsia" w:ascii="彩虹粗仿宋" w:eastAsia="彩虹粗仿宋"/>
          <w:sz w:val="24"/>
        </w:rPr>
        <w:t>（3）基金拟认购的数量、价格、总成本、账面价值。</w:t>
      </w:r>
    </w:p>
    <w:p>
      <w:pPr>
        <w:snapToGrid w:val="0"/>
        <w:ind w:firstLine="480" w:firstLineChars="200"/>
        <w:rPr>
          <w:rFonts w:ascii="彩虹粗仿宋" w:eastAsia="彩虹粗仿宋"/>
          <w:sz w:val="24"/>
        </w:rPr>
      </w:pPr>
      <w:r>
        <w:rPr>
          <w:rFonts w:hint="eastAsia" w:ascii="彩虹粗仿宋" w:hAnsi="宋体" w:eastAsia="彩虹粗仿宋" w:cs="Arial"/>
          <w:sz w:val="24"/>
        </w:rPr>
        <w:t>4.</w:t>
      </w:r>
      <w:r>
        <w:rPr>
          <w:rFonts w:hint="eastAsia" w:ascii="彩虹粗仿宋" w:eastAsia="彩虹粗仿宋"/>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pPr>
        <w:snapToGrid w:val="0"/>
        <w:ind w:firstLine="480" w:firstLineChars="200"/>
        <w:rPr>
          <w:rFonts w:ascii="彩虹粗仿宋" w:eastAsia="彩虹粗仿宋"/>
          <w:sz w:val="24"/>
        </w:rPr>
      </w:pPr>
      <w:r>
        <w:rPr>
          <w:rFonts w:hint="eastAsia" w:ascii="彩虹粗仿宋" w:eastAsia="彩虹粗仿宋"/>
          <w:sz w:val="24"/>
        </w:rPr>
        <w:t>本基金有关投资流通受限证券比例如违反有关限制规定，在合理期限内未能进行及时调整，基金管理人应在两日内编制临时报告书，予以公告。</w:t>
      </w:r>
    </w:p>
    <w:p>
      <w:pPr>
        <w:adjustRightInd w:val="0"/>
        <w:snapToGrid w:val="0"/>
        <w:ind w:firstLine="480" w:firstLineChars="200"/>
        <w:rPr>
          <w:rFonts w:ascii="彩虹粗仿宋" w:eastAsia="彩虹粗仿宋"/>
          <w:sz w:val="24"/>
        </w:rPr>
      </w:pPr>
      <w:r>
        <w:rPr>
          <w:rFonts w:hint="eastAsia" w:ascii="彩虹粗仿宋" w:hAnsi="宋体" w:eastAsia="彩虹粗仿宋" w:cs="Arial"/>
          <w:sz w:val="24"/>
        </w:rPr>
        <w:t>5.</w:t>
      </w:r>
      <w:r>
        <w:rPr>
          <w:rFonts w:hint="eastAsia" w:ascii="彩虹粗仿宋" w:eastAsia="彩虹粗仿宋"/>
          <w:sz w:val="24"/>
        </w:rPr>
        <w:t>相关法律法规对基金投资流通受限证券有新规定的，从其规定。</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（八）若基金托管人发现基金管理人依据交易程序已经生效的指令违反法律、行政法规和其他有关规定，或者违反《基金合同》约定的，应当及时通知基金管理人，由此造成的损失由基金管理人承担。</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pPr>
        <w:pStyle w:val="2"/>
        <w:jc w:val="center"/>
        <w:rPr>
          <w:rFonts w:ascii="彩虹粗仿宋" w:eastAsia="彩虹粗仿宋"/>
          <w:sz w:val="30"/>
        </w:rPr>
      </w:pPr>
      <w:bookmarkStart w:id="18" w:name="_Toc118212950"/>
      <w:bookmarkStart w:id="19" w:name="_Toc110761796"/>
      <w:bookmarkStart w:id="20" w:name="_Toc86727355"/>
      <w:bookmarkStart w:id="21" w:name="_Toc89163368"/>
      <w:bookmarkStart w:id="22" w:name="_Toc119402710"/>
      <w:bookmarkStart w:id="23" w:name="_Toc86225291"/>
      <w:bookmarkStart w:id="24" w:name="_Toc86726439"/>
      <w:bookmarkStart w:id="25" w:name="_Toc118972648"/>
      <w:bookmarkStart w:id="26" w:name="_Toc110765660"/>
      <w:bookmarkStart w:id="27" w:name="_Toc86649722"/>
      <w:bookmarkStart w:id="28" w:name="_Toc124325888"/>
      <w:bookmarkStart w:id="29" w:name="_Toc86223242"/>
      <w:bookmarkStart w:id="30" w:name="_Toc86737929"/>
      <w:bookmarkStart w:id="31" w:name="_Toc118774803"/>
      <w:bookmarkStart w:id="32" w:name="_Toc110830492"/>
      <w:bookmarkStart w:id="33" w:name="_Toc108512358"/>
      <w:bookmarkStart w:id="34" w:name="_Toc120435783"/>
      <w:r>
        <w:rPr>
          <w:rFonts w:hint="eastAsia" w:ascii="彩虹粗仿宋" w:eastAsia="彩虹粗仿宋"/>
          <w:sz w:val="30"/>
        </w:rPr>
        <w:t>四、基金管理人对基金托管人的业务核查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提示等方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pPr>
        <w:rPr>
          <w:rFonts w:ascii="彩虹粗仿宋" w:eastAsia="彩虹粗仿宋"/>
          <w:sz w:val="24"/>
        </w:rPr>
      </w:pPr>
    </w:p>
    <w:p>
      <w:pPr>
        <w:pStyle w:val="2"/>
        <w:jc w:val="center"/>
        <w:rPr>
          <w:rFonts w:ascii="彩虹粗仿宋" w:eastAsia="彩虹粗仿宋"/>
          <w:sz w:val="30"/>
        </w:rPr>
      </w:pPr>
      <w:bookmarkStart w:id="35" w:name="_Toc124325889"/>
      <w:bookmarkStart w:id="36" w:name="_Toc86225292"/>
      <w:bookmarkStart w:id="37" w:name="_Toc86727356"/>
      <w:bookmarkStart w:id="38" w:name="_Toc118212951"/>
      <w:bookmarkStart w:id="39" w:name="_Toc89163369"/>
      <w:bookmarkStart w:id="40" w:name="_Toc110765661"/>
      <w:bookmarkStart w:id="41" w:name="_Toc86737930"/>
      <w:bookmarkStart w:id="42" w:name="_Toc110830493"/>
      <w:bookmarkStart w:id="43" w:name="_Toc110761797"/>
      <w:bookmarkStart w:id="44" w:name="_Toc86726440"/>
      <w:bookmarkStart w:id="45" w:name="_Toc84234388"/>
      <w:bookmarkStart w:id="46" w:name="_Toc84234435"/>
      <w:bookmarkStart w:id="47" w:name="_Toc86223243"/>
      <w:bookmarkStart w:id="48" w:name="_Toc118774804"/>
      <w:bookmarkStart w:id="49" w:name="_Toc84133786"/>
      <w:bookmarkStart w:id="50" w:name="_Toc120435784"/>
      <w:bookmarkStart w:id="51" w:name="_Toc118972649"/>
      <w:bookmarkStart w:id="52" w:name="_Toc86204789"/>
      <w:bookmarkStart w:id="53" w:name="_Toc108512359"/>
      <w:bookmarkStart w:id="54" w:name="_Toc86649723"/>
      <w:bookmarkStart w:id="55" w:name="_Toc119402711"/>
      <w:r>
        <w:rPr>
          <w:rFonts w:hint="eastAsia" w:ascii="彩虹粗仿宋" w:eastAsia="彩虹粗仿宋"/>
          <w:sz w:val="30"/>
        </w:rPr>
        <w:t>五、基金财产的保管</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（一）基金财产保管的原则</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1.基金财产应独立于基金管理人、基金托管人的固有财产。</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2.基金托管人应安全保管基金财产。</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3.基金托管人按照规定开设基金财产的资金账户和证券账户等投资所需账户。</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4.基金托管人对所托管的不同基金财产分别设置账户，确保基金财产的完整与独立。</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5.基金托管人按照《基金合同》和本协议的约定保管基金财产，如有特殊情况双方可另行协商解决。基金</w:t>
      </w:r>
      <w:r>
        <w:rPr>
          <w:rFonts w:hint="eastAsia" w:ascii="彩虹粗仿宋" w:eastAsia="彩虹粗仿宋"/>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7.除依据法律法规和《基金合同》的规定外，基金托管人不得委托第三人托管基金财产。</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（二）基金募集期间及募集资金的验资</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1.基金募集期间募集的资金应存于基金管理人在基金托管人的营业机构开立的“基金募集专户”。该账户由基金管理人开立并管理。</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基金募集期满或基金停止募集时，发起资金提供方持有的基金份额、承诺持有的期限符合《基金法》、《公开募集证券投资基金运作管理办法》（以下简称“《运作办法》”）等有关规定后，基金管理人应将属于基金财产的全部资金划入基金托管人开立的基金托管资金账户，同时在规定时间内，聘请符合《证券法》规定的会计师事务所进行验资，出具验资报告，验资机构应在验资报告中对发起资金的持有人及其持有份额进行专门说明。出具的验资报告由参加验资的2名或2名以上中国注册会计师签字方为有效。</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3.若基金募集期限届满，未能达到《基金合同》生效的条件，由基金管理人按规定办理退款等事宜，基金托管人应提供必要的配合。</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（三）基金托管资金账户的开立和管理</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1.基金托管人可以基金的名义在</w:t>
      </w:r>
      <w:bookmarkStart w:id="56" w:name="OLE_LINK16"/>
      <w:r>
        <w:rPr>
          <w:rFonts w:hint="eastAsia" w:ascii="彩虹粗仿宋" w:hAnsi="宋体" w:eastAsia="彩虹粗仿宋" w:cs="Arial"/>
          <w:sz w:val="24"/>
        </w:rPr>
        <w:t>其营业机构开立基金的托管</w:t>
      </w:r>
      <w:bookmarkEnd w:id="56"/>
      <w:r>
        <w:rPr>
          <w:rFonts w:hint="eastAsia" w:ascii="彩虹粗仿宋" w:hAnsi="宋体" w:eastAsia="彩虹粗仿宋" w:cs="Arial"/>
          <w:sz w:val="24"/>
        </w:rPr>
        <w:t>资金账户，并根据基金管理人合法合规的指令办理资金收付。本基金的银行预留印鉴由基金托管人保管和使用。</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3.基金托管资金账户的开立和管理应符合银行业监督管理机构的有关规定。</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4.在符合法律法规规定的条件下，基金托管人可以通过基金托管人专用账户办理基金资产的支付。</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5.基金管理人应于托管产品到期后及时完成收益兑付、费用结清及其他应收应付款项资金划转，在确保后续不再发生款项进出后的10个工作日内向托管人发出销户申请。</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（四）基金证券账户和结算备付金账户的开立和管理</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1.基金托管人在中国证券登记结算有限责任公司为基金开立基金托管人与基金联名的证券账户。</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3.基金证券账户的开立和证券账户卡的保管由基金托管人负责，账户资产的管理和运用由基金管理人负责。</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证券账户开户费由基金管理人先行垫付,待托管产品启始运营后,基金管理人可向基金托管人发送划款指令,将代垫开户费从本基金托管资金账户中扣还基金管理人。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5.账户注销时，在遵守中国证券登记结算有限责任公司的相关规定下，由管理人和托管人协商确认主要办理人。账户注销期间，主要办理人如需另一方提供配合的，另一方应予以配合。</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（五）银行间账户的开设和管理</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（六）开放式基金账户的开设和管理（如适用）</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场外开放式基金账户由管理人根据基金公司要求填写相关资料后开立。管理人应指定托管资金账户作为开放式基金交易及回款的唯一结算账户。管理人应及时将开放式基金账户的信息发送托管人。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管理人选择通过机构投资者场外投资业务平台（简称"FISP"）参与开放式基金投资的，应由</w:t>
      </w:r>
      <w:bookmarkStart w:id="57" w:name="OLE_LINK23"/>
      <w:r>
        <w:rPr>
          <w:rFonts w:hint="eastAsia" w:ascii="彩虹粗仿宋" w:hAnsi="宋体" w:eastAsia="彩虹粗仿宋" w:cs="Arial"/>
          <w:sz w:val="24"/>
        </w:rPr>
        <w:t>基金</w:t>
      </w:r>
      <w:bookmarkEnd w:id="57"/>
      <w:r>
        <w:rPr>
          <w:rFonts w:hint="eastAsia" w:ascii="彩虹粗仿宋" w:hAnsi="宋体" w:eastAsia="彩虹粗仿宋" w:cs="Arial"/>
          <w:sz w:val="24"/>
        </w:rPr>
        <w:t>管理人在FISP系统登记产品信息（包含托管人信息），由托管人对银行账户信息进行验证。产品登记成功后，由基金管理人在线向基金销售机构提交开户申请，账户开立信息通过FISP反馈基金管理人和托管人。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（七）其他账户的开立和管理</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2.法律法规等有关规定对相关账户的开立和管理另有规定的，从其规定办理。</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（八）基金财产投资的有关有价凭证等的保管</w:t>
      </w:r>
    </w:p>
    <w:p>
      <w:pPr>
        <w:adjustRightInd w:val="0"/>
        <w:snapToGrid w:val="0"/>
        <w:ind w:firstLine="480" w:firstLineChars="200"/>
        <w:rPr>
          <w:rFonts w:hint="eastAsia" w:ascii="彩虹粗仿宋" w:hAnsi="宋体" w:eastAsia="彩虹粗仿宋" w:cs="Arial"/>
        </w:rPr>
      </w:pPr>
      <w:r>
        <w:rPr>
          <w:rFonts w:hint="eastAsia" w:ascii="彩虹粗仿宋" w:hAnsi="宋体" w:eastAsia="彩虹粗仿宋" w:cs="Arial"/>
          <w:sz w:val="24"/>
        </w:rPr>
        <w:t>基金财产投资的有关实物证券、银行</w:t>
      </w:r>
      <w:r>
        <w:rPr>
          <w:rFonts w:hint="eastAsia" w:ascii="彩虹粗仿宋" w:eastAsia="彩虹粗仿宋"/>
          <w:sz w:val="24"/>
        </w:rPr>
        <w:t>存款开户证实书</w:t>
      </w:r>
      <w:r>
        <w:rPr>
          <w:rFonts w:hint="eastAsia" w:ascii="彩虹粗仿宋" w:hAnsi="宋体" w:eastAsia="彩虹粗仿宋" w:cs="Arial"/>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（九）与基金财产有关的重大合同的保管</w:t>
      </w:r>
    </w:p>
    <w:p>
      <w:pPr>
        <w:adjustRightInd w:val="0"/>
        <w:snapToGrid w:val="0"/>
        <w:ind w:firstLine="480" w:firstLineChars="200"/>
      </w:pPr>
      <w:r>
        <w:rPr>
          <w:rFonts w:hint="eastAsia" w:ascii="彩虹粗仿宋" w:hAnsi="宋体" w:eastAsia="彩虹粗仿宋" w:cs="Arial"/>
          <w:sz w:val="24"/>
        </w:rPr>
        <w:t xml:space="preserve">由基金管理人代表基金签署的、与基金有关的重大合同的原件分别由基金管理人、基金托管人保管。除本协议另有规定外，基金管理人在代表基金签署与基金有关的重大合同时应尽量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对于无法取得二份以上的正本的，基金管理人应向基金托管人提供加盖授权业务章的合同复印件或传真件，未经双方协商或未在合同约定范围内，合同原件不得转移。 </w:t>
      </w:r>
    </w:p>
    <w:p>
      <w:pPr>
        <w:adjustRightInd w:val="0"/>
        <w:snapToGrid w:val="0"/>
        <w:ind w:firstLine="420" w:firstLineChars="200"/>
        <w:rPr>
          <w:rStyle w:val="30"/>
        </w:rPr>
      </w:pPr>
    </w:p>
    <w:p>
      <w:pPr>
        <w:rPr>
          <w:rFonts w:ascii="彩虹粗仿宋" w:eastAsia="彩虹粗仿宋"/>
          <w:sz w:val="24"/>
        </w:rPr>
      </w:pPr>
    </w:p>
    <w:p>
      <w:pPr>
        <w:pStyle w:val="2"/>
        <w:jc w:val="center"/>
        <w:rPr>
          <w:rFonts w:ascii="彩虹粗仿宋" w:eastAsia="彩虹粗仿宋"/>
          <w:sz w:val="30"/>
        </w:rPr>
      </w:pPr>
      <w:bookmarkStart w:id="58" w:name="_Toc89163370"/>
      <w:bookmarkStart w:id="59" w:name="_Toc86225293"/>
      <w:bookmarkStart w:id="60" w:name="_Toc110830494"/>
      <w:bookmarkStart w:id="61" w:name="_Toc108512360"/>
      <w:bookmarkStart w:id="62" w:name="_Toc118972650"/>
      <w:bookmarkStart w:id="63" w:name="_Toc120435785"/>
      <w:bookmarkStart w:id="64" w:name="_Toc86649724"/>
      <w:bookmarkStart w:id="65" w:name="_Toc86204790"/>
      <w:bookmarkStart w:id="66" w:name="_Toc86223244"/>
      <w:bookmarkStart w:id="67" w:name="_Toc84234436"/>
      <w:bookmarkStart w:id="68" w:name="_Toc118774805"/>
      <w:bookmarkStart w:id="69" w:name="_Toc124325890"/>
      <w:bookmarkStart w:id="70" w:name="_Toc86726441"/>
      <w:bookmarkStart w:id="71" w:name="_Toc118212952"/>
      <w:bookmarkStart w:id="72" w:name="_Toc86737931"/>
      <w:bookmarkStart w:id="73" w:name="_Toc86727357"/>
      <w:bookmarkStart w:id="74" w:name="_Toc84234389"/>
      <w:bookmarkStart w:id="75" w:name="_Toc119402712"/>
      <w:bookmarkStart w:id="76" w:name="_Toc110765662"/>
      <w:bookmarkStart w:id="77" w:name="_Toc110761798"/>
      <w:bookmarkStart w:id="78" w:name="_Toc84133787"/>
      <w:r>
        <w:rPr>
          <w:rFonts w:hint="eastAsia" w:ascii="彩虹粗仿宋" w:eastAsia="彩虹粗仿宋"/>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基金管理人在运用基金财产时向基金托管人发送资金划拨及其他款项付款指令，基金托管人执行基金管理人的指令、办理基金名下的资金往来等有关事项。</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（一）基金管理人对发送指令人员的书面授权</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1.基金管理人应指定专人向基金托管人发送指令。</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2.基金管理人应向基金托管人提供书面授权文件原件，内容包括被授权人名单、预留印鉴及被授权人签字样本（含签名章），授权文件应注明各被授权人相应的权限, 并加盖单位公章。</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4.基金管理人和基金托管人对授权文件及其更改负有保密义务，其内容不得向被授权人及相关操作人员以外的任何人泄露。但法律法规规定或有权机关要求的除外。</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（二）指令的内容</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1.指令包括付款指令（含赎回、分红付款指令、银行间业务划款指令等）以及其他资金划拨指令等。</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2.基金管理人发给基金托管人的指令应写明款项事由、支付时间、到账时间、金额、收付款账户等执行支付所需内容，加盖预留印鉴并由被授权人签字（或加盖签名章）。</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（三）指令的发送、确认及执行的时间和程序</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1.指令的发送</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基金管理人发送指令应采用传真方式或双方协商一致的其他方式。</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指令发出后，基金管理人应及时以电话方式向基金托管人确认。</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2.指令的确认</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3.指令的时间和执行</w:t>
      </w:r>
    </w:p>
    <w:p>
      <w:pPr>
        <w:pStyle w:val="7"/>
        <w:spacing w:line="240" w:lineRule="auto"/>
        <w:ind w:firstLineChars="0"/>
        <w:rPr>
          <w:rFonts w:hint="eastAsia" w:ascii="彩虹粗仿宋" w:hAnsi="宋体" w:eastAsia="彩虹粗仿宋" w:cs="Arial"/>
          <w:szCs w:val="24"/>
          <w:shd w:val="pct10" w:color="auto" w:fill="FFFFFF"/>
        </w:rPr>
      </w:pPr>
      <w:r>
        <w:rPr>
          <w:rFonts w:hint="eastAsia" w:ascii="彩虹粗仿宋" w:hAnsi="宋体" w:eastAsia="彩虹粗仿宋" w:cs="Arial"/>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hint="eastAsia" w:ascii="彩虹粗仿宋" w:hAnsi="宋体" w:eastAsia="彩虹粗仿宋" w:cs="Arial"/>
          <w:szCs w:val="24"/>
        </w:rPr>
        <w:t>基金管理人应确保基金托管人在执行指令时，基金托管资金账户有足够的资金余额，</w:t>
      </w:r>
      <w:r>
        <w:rPr>
          <w:rFonts w:hint="eastAsia" w:ascii="彩虹粗仿宋" w:hAnsi="宋体" w:eastAsia="彩虹粗仿宋" w:cs="Arial"/>
        </w:rPr>
        <w:t>在基金资金头寸充足的情况下，基金托管人对基金管理人符合法律法规、《基金合同》、本协议的指令不得拖延或拒绝执行。</w:t>
      </w:r>
    </w:p>
    <w:p>
      <w:pPr>
        <w:pStyle w:val="7"/>
        <w:spacing w:line="240" w:lineRule="auto"/>
        <w:ind w:firstLineChars="0"/>
        <w:rPr>
          <w:rFonts w:hint="eastAsia" w:ascii="彩虹粗仿宋" w:hAnsi="宋体" w:eastAsia="彩虹粗仿宋" w:cs="Arial"/>
        </w:rPr>
      </w:pPr>
      <w:r>
        <w:rPr>
          <w:rFonts w:hint="eastAsia" w:ascii="彩虹粗仿宋" w:hAnsi="宋体" w:eastAsia="彩虹粗仿宋" w:cs="Arial"/>
        </w:rPr>
        <w:t>（四）基金管理人发送错误指令的情形和处理程序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基金管理人发送错误指令的情形包括指令违反法律法规、监管规定、《基金合同》或本协议的约定，或指令发送人员无权或超越权限发送指令。</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基金托管人发现基金管理人的指令错误时，有权视情况暂缓或拒绝执行，并及时通知基金管理人改正。如需托管人撤销尚未执行的指令，基金管理人应出具作废指令或作废说明，并电话通知托管人。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（五）基金托管人未按照基金管理人指令执行的处理方法</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基金托管人由于自身过错，未按照基金管理人发送的符合法律法规、监管规定、《基金合同》和本协议约定的指令执行并对基金财产、投资人造成的直接损失，由基金托管人</w:t>
      </w:r>
      <w:r>
        <w:rPr>
          <w:rFonts w:hint="eastAsia" w:ascii="彩虹粗仿宋" w:eastAsia="彩虹粗仿宋"/>
          <w:sz w:val="24"/>
        </w:rPr>
        <w:t>赔偿由此造成的直接损失。</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（六）更换被授权人员的程序</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w:t>
      </w:r>
      <w:r>
        <w:rPr>
          <w:rFonts w:hint="eastAsia" w:ascii="彩虹粗仿宋" w:eastAsia="彩虹粗仿宋"/>
          <w:sz w:val="24"/>
        </w:rPr>
        <w:t>。</w:t>
      </w:r>
      <w:r>
        <w:rPr>
          <w:rFonts w:hint="eastAsia" w:ascii="彩虹粗仿宋" w:hAnsi="宋体" w:eastAsia="彩虹粗仿宋" w:cs="Arial"/>
          <w:sz w:val="24"/>
        </w:rPr>
        <w:t>基金托管人更换接收基金管理人指令的传真号或邮箱地址，应提前通知基金管理人。</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（七）其他事项</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托管人在接收指令时，应对指令的要素是否齐全、印鉴与被授权人是否与预留的授权文件内容表面相符进行检查，如发现问题，应及时报告基金管理人，基金托管人对正确执行基金管理人的有效指令对基金财产造成的损失不承担赔偿责任。</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基金参与认购未上市债券时，基金管理人应代表本基金与对手方签署相关合同或协议，明确约定债券过户具体事宜。否则，基金管理人需对所认购债券的过户事宜承担相应责任。</w:t>
      </w:r>
    </w:p>
    <w:p>
      <w:pPr>
        <w:adjustRightInd w:val="0"/>
        <w:snapToGrid w:val="0"/>
        <w:rPr>
          <w:rFonts w:hint="eastAsia" w:ascii="彩虹粗仿宋" w:hAnsi="宋体" w:eastAsia="彩虹粗仿宋" w:cs="Arial"/>
          <w:sz w:val="24"/>
        </w:rPr>
      </w:pPr>
    </w:p>
    <w:p>
      <w:pPr>
        <w:pStyle w:val="2"/>
        <w:jc w:val="center"/>
        <w:rPr>
          <w:rFonts w:ascii="彩虹粗仿宋" w:eastAsia="彩虹粗仿宋"/>
          <w:sz w:val="30"/>
        </w:rPr>
      </w:pPr>
      <w:bookmarkStart w:id="79" w:name="_Toc110830495"/>
      <w:bookmarkStart w:id="80" w:name="_Toc86727358"/>
      <w:bookmarkStart w:id="81" w:name="_Toc86204791"/>
      <w:bookmarkStart w:id="82" w:name="_Toc84133788"/>
      <w:bookmarkStart w:id="83" w:name="_Toc86726442"/>
      <w:bookmarkStart w:id="84" w:name="_Toc120435786"/>
      <w:bookmarkStart w:id="85" w:name="_Toc108512361"/>
      <w:bookmarkStart w:id="86" w:name="_Toc118972651"/>
      <w:bookmarkStart w:id="87" w:name="_Toc118212953"/>
      <w:bookmarkStart w:id="88" w:name="_Toc86225294"/>
      <w:bookmarkStart w:id="89" w:name="_Toc124325891"/>
      <w:bookmarkStart w:id="90" w:name="_Toc110765663"/>
      <w:bookmarkStart w:id="91" w:name="_Toc110761799"/>
      <w:bookmarkStart w:id="92" w:name="_Toc84234390"/>
      <w:bookmarkStart w:id="93" w:name="_Toc86223245"/>
      <w:bookmarkStart w:id="94" w:name="_Toc89163371"/>
      <w:bookmarkStart w:id="95" w:name="_Toc86737932"/>
      <w:bookmarkStart w:id="96" w:name="_Toc118774806"/>
      <w:bookmarkStart w:id="97" w:name="_Toc84234437"/>
      <w:bookmarkStart w:id="98" w:name="_Toc86649725"/>
      <w:bookmarkStart w:id="99" w:name="_Toc119402713"/>
      <w:r>
        <w:rPr>
          <w:rFonts w:hint="eastAsia" w:ascii="彩虹粗仿宋" w:eastAsia="彩虹粗仿宋"/>
          <w:sz w:val="30"/>
        </w:rPr>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napToGrid w:val="0"/>
        <w:ind w:firstLine="480" w:firstLineChars="200"/>
        <w:rPr>
          <w:rFonts w:hint="eastAsia" w:ascii="彩虹粗仿宋" w:hAnsi="宋体" w:eastAsia="彩虹粗仿宋"/>
          <w:bCs/>
          <w:sz w:val="24"/>
        </w:rPr>
      </w:pPr>
      <w:r>
        <w:rPr>
          <w:rFonts w:hint="eastAsia" w:ascii="彩虹粗仿宋" w:hAnsi="宋体" w:eastAsia="彩虹粗仿宋"/>
          <w:sz w:val="24"/>
        </w:rPr>
        <w:t>本产品参与交易所场内证券投资，采取托管人结算模式，</w:t>
      </w:r>
      <w:r>
        <w:rPr>
          <w:rFonts w:hint="eastAsia" w:ascii="彩虹粗仿宋" w:hAnsi="宋体" w:eastAsia="彩虹粗仿宋"/>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（一）选择证券、期货买卖的证券、期货经营机构</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本基金在开始进行期货投资之前，应与基金托管人、期货公司三方一同就期货开户、清算、估值、交收等事宜另行签署《期货投资托管操作三方备忘录》。</w:t>
      </w:r>
    </w:p>
    <w:p>
      <w:pPr>
        <w:adjustRightInd w:val="0"/>
        <w:snapToGrid w:val="0"/>
        <w:ind w:firstLine="480" w:firstLineChars="200"/>
        <w:rPr>
          <w:rFonts w:hint="eastAsia" w:ascii="彩虹粗仿宋" w:hAnsi="宋体" w:eastAsia="彩虹粗仿宋" w:cs="Arial"/>
          <w:iCs/>
          <w:sz w:val="24"/>
        </w:rPr>
      </w:pPr>
      <w:r>
        <w:rPr>
          <w:rFonts w:hint="eastAsia" w:ascii="彩虹粗仿宋" w:hAnsi="宋体" w:eastAsia="彩虹粗仿宋" w:cs="Arial"/>
          <w:iCs/>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（二）基金投资证券后的清算交收安排</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1.结算备付金与保证金</w:t>
      </w:r>
    </w:p>
    <w:p>
      <w:pPr>
        <w:snapToGrid w:val="0"/>
        <w:ind w:firstLine="480" w:firstLineChars="200"/>
        <w:rPr>
          <w:rFonts w:hint="eastAsia" w:ascii="彩虹粗仿宋" w:hAnsi="宋体" w:eastAsia="彩虹粗仿宋"/>
          <w:bCs/>
          <w:sz w:val="24"/>
        </w:rPr>
      </w:pPr>
      <w:r>
        <w:rPr>
          <w:rFonts w:hint="eastAsia" w:ascii="彩虹粗仿宋" w:hAnsi="宋体" w:eastAsia="彩虹粗仿宋"/>
          <w:bCs/>
          <w:sz w:val="24"/>
        </w:rPr>
        <w:t>中国证券登记结算有限责任公司分别于每月前</w:t>
      </w:r>
      <w:r>
        <w:rPr>
          <w:rFonts w:ascii="彩虹粗仿宋" w:hAnsi="宋体" w:eastAsia="彩虹粗仿宋"/>
          <w:bCs/>
          <w:sz w:val="24"/>
        </w:rPr>
        <w:t>6个交易日</w:t>
      </w:r>
      <w:r>
        <w:rPr>
          <w:rFonts w:hint="eastAsia" w:ascii="彩虹粗仿宋" w:hAnsi="宋体" w:eastAsia="彩虹粗仿宋"/>
          <w:bCs/>
          <w:sz w:val="24"/>
        </w:rPr>
        <w:t>及每月前</w:t>
      </w:r>
      <w:r>
        <w:rPr>
          <w:rFonts w:ascii="彩虹粗仿宋" w:hAnsi="宋体" w:eastAsia="彩虹粗仿宋"/>
          <w:bCs/>
          <w:sz w:val="24"/>
        </w:rPr>
        <w:t>3个交易日内，对结算参与人最低备付金限额与结算保证金限额进行重新核算、调整。基金托管人</w:t>
      </w:r>
      <w:r>
        <w:rPr>
          <w:rFonts w:hint="eastAsia" w:ascii="彩虹粗仿宋" w:hAnsi="宋体" w:eastAsia="彩虹粗仿宋"/>
          <w:bCs/>
          <w:sz w:val="24"/>
        </w:rPr>
        <w:t>应分别于每月前</w:t>
      </w:r>
      <w:r>
        <w:rPr>
          <w:rFonts w:ascii="彩虹粗仿宋" w:hAnsi="宋体" w:eastAsia="彩虹粗仿宋"/>
          <w:bCs/>
          <w:sz w:val="24"/>
        </w:rPr>
        <w:t>3个交易日内及结算保证金调整当日通过《资金账户报告》通知基金管理人</w:t>
      </w:r>
      <w:r>
        <w:rPr>
          <w:rFonts w:hint="eastAsia" w:ascii="彩虹粗仿宋" w:hAnsi="宋体" w:eastAsia="彩虹粗仿宋"/>
          <w:bCs/>
          <w:sz w:val="24"/>
        </w:rPr>
        <w:t>本基金最低备付金调整金额以及调整后的结算保证金金额。</w:t>
      </w:r>
      <w:r>
        <w:rPr>
          <w:rFonts w:hint="eastAsia" w:ascii="彩虹粗仿宋" w:eastAsia="彩虹粗仿宋"/>
          <w:sz w:val="24"/>
        </w:rPr>
        <w:t>基金管理人应预留最低备付金和结算保证金，并根据中国证券登记结算有限责任公司确定的实际最低备付金、结算保证金数据为依据安排资金运作，调整所需的现金头寸。</w:t>
      </w:r>
      <w:r>
        <w:rPr>
          <w:rFonts w:hint="eastAsia" w:ascii="彩虹粗仿宋" w:hAnsi="宋体" w:eastAsia="彩虹粗仿宋"/>
          <w:sz w:val="24"/>
        </w:rPr>
        <w:t>如因调整最低备付金、结算保证金后造成透支，基金管理人应视基金托管人最低结算备付金比例计收方式分别于下列时点补足透支金额：</w:t>
      </w:r>
    </w:p>
    <w:p>
      <w:pPr>
        <w:snapToGrid w:val="0"/>
        <w:ind w:firstLine="480" w:firstLineChars="200"/>
        <w:rPr>
          <w:rFonts w:hint="eastAsia" w:ascii="彩虹粗仿宋" w:hAnsi="宋体" w:eastAsia="彩虹粗仿宋"/>
          <w:sz w:val="24"/>
        </w:rPr>
      </w:pPr>
      <w:r>
        <w:rPr>
          <w:rFonts w:hint="eastAsia" w:ascii="彩虹粗仿宋" w:hAnsi="宋体" w:eastAsia="彩虹粗仿宋"/>
          <w:sz w:val="24"/>
        </w:rPr>
        <w:t>（</w:t>
      </w:r>
      <w:r>
        <w:rPr>
          <w:rFonts w:ascii="彩虹粗仿宋" w:hAnsi="宋体" w:eastAsia="彩虹粗仿宋"/>
          <w:sz w:val="24"/>
        </w:rPr>
        <w:t>1）固定备付金比例</w:t>
      </w:r>
      <w:r>
        <w:rPr>
          <w:rFonts w:hint="eastAsia" w:ascii="彩虹粗仿宋" w:hAnsi="宋体" w:eastAsia="彩虹粗仿宋"/>
          <w:sz w:val="24"/>
        </w:rPr>
        <w:t>计收方式下，基金管理人应在调整最低备付金、结算保证金当日上午</w:t>
      </w:r>
      <w:r>
        <w:rPr>
          <w:rFonts w:ascii="彩虹粗仿宋" w:hAnsi="宋体" w:eastAsia="彩虹粗仿宋"/>
          <w:sz w:val="24"/>
        </w:rPr>
        <w:t>11</w:t>
      </w:r>
      <w:r>
        <w:rPr>
          <w:rFonts w:hint="eastAsia" w:ascii="彩虹粗仿宋" w:hAnsi="宋体" w:eastAsia="彩虹粗仿宋"/>
          <w:sz w:val="24"/>
        </w:rPr>
        <w:t>：</w:t>
      </w:r>
      <w:r>
        <w:rPr>
          <w:rFonts w:ascii="彩虹粗仿宋" w:hAnsi="宋体" w:eastAsia="彩虹粗仿宋"/>
          <w:sz w:val="24"/>
        </w:rPr>
        <w:t>00之前补足</w:t>
      </w:r>
      <w:r>
        <w:rPr>
          <w:rFonts w:hint="eastAsia" w:ascii="彩虹粗仿宋" w:hAnsi="宋体" w:eastAsia="彩虹粗仿宋"/>
          <w:sz w:val="24"/>
        </w:rPr>
        <w:t>金额。</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sz w:val="24"/>
        </w:rPr>
        <w:t>（</w:t>
      </w:r>
      <w:r>
        <w:rPr>
          <w:rFonts w:ascii="彩虹粗仿宋" w:hAnsi="宋体" w:eastAsia="彩虹粗仿宋"/>
          <w:sz w:val="24"/>
        </w:rPr>
        <w:t>2）差异化备付金比例</w:t>
      </w:r>
      <w:r>
        <w:rPr>
          <w:rFonts w:hint="eastAsia" w:ascii="彩虹粗仿宋" w:hAnsi="宋体" w:eastAsia="彩虹粗仿宋"/>
          <w:sz w:val="24"/>
        </w:rPr>
        <w:t>计收方式下，基金管理人应最晚于资金交收日上午</w:t>
      </w:r>
      <w:r>
        <w:rPr>
          <w:rFonts w:ascii="彩虹粗仿宋" w:hAnsi="宋体" w:eastAsia="彩虹粗仿宋"/>
          <w:sz w:val="24"/>
        </w:rPr>
        <w:t>8：30前补足金额</w:t>
      </w:r>
      <w:r>
        <w:rPr>
          <w:rFonts w:hint="eastAsia" w:ascii="彩虹粗仿宋" w:hAnsi="宋体" w:eastAsia="彩虹粗仿宋"/>
          <w:sz w:val="24"/>
        </w:rPr>
        <w:t>。</w:t>
      </w:r>
    </w:p>
    <w:p>
      <w:pPr>
        <w:adjustRightInd w:val="0"/>
        <w:snapToGrid w:val="0"/>
        <w:ind w:firstLine="480"/>
        <w:rPr>
          <w:rFonts w:hint="eastAsia" w:ascii="彩虹粗仿宋" w:hAnsi="宋体" w:eastAsia="彩虹粗仿宋"/>
          <w:bCs/>
          <w:sz w:val="24"/>
        </w:rPr>
      </w:pPr>
      <w:r>
        <w:rPr>
          <w:rFonts w:ascii="彩虹粗仿宋" w:hAnsi="宋体" w:eastAsia="彩虹粗仿宋"/>
          <w:bCs/>
          <w:sz w:val="24"/>
        </w:rPr>
        <w:t>2</w:t>
      </w:r>
      <w:r>
        <w:rPr>
          <w:rFonts w:hint="eastAsia" w:ascii="彩虹粗仿宋" w:hAnsi="宋体" w:eastAsia="彩虹粗仿宋"/>
          <w:bCs/>
          <w:sz w:val="24"/>
        </w:rPr>
        <w:t>.</w:t>
      </w:r>
      <w:r>
        <w:rPr>
          <w:rFonts w:ascii="彩虹粗仿宋" w:hAnsi="宋体" w:eastAsia="彩虹粗仿宋"/>
          <w:bCs/>
          <w:sz w:val="24"/>
        </w:rPr>
        <w:t>清算交收</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基金托管人负责基金买卖证券的清算交收。场内资金结算由基金托管人根据中国证券登记结算有限责任公司结算数据办理；场外资金汇划由基金托管人根据基金管理人的交易划款指令具体办理。</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如果因为基金托管人自身过错在清算上造成基金财产的直接损失，应由基金托管人负责赔偿</w:t>
      </w:r>
      <w:r>
        <w:rPr>
          <w:rFonts w:hint="eastAsia" w:ascii="宋体" w:hAnsi="Calibri" w:cs="宋体"/>
          <w:kern w:val="0"/>
          <w:sz w:val="22"/>
          <w:szCs w:val="22"/>
          <w:lang w:val="zh-CN"/>
        </w:rPr>
        <w:t>，</w:t>
      </w:r>
      <w:r>
        <w:rPr>
          <w:rFonts w:hint="eastAsia" w:ascii="彩虹粗仿宋" w:hAnsi="宋体" w:eastAsia="彩虹粗仿宋" w:cs="Arial"/>
          <w:sz w:val="24"/>
        </w:rPr>
        <w:t>但因中国人民银行、中国结算和银行间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w:t>
      </w:r>
      <w:r>
        <w:rPr>
          <w:rFonts w:hint="eastAsia"/>
          <w:color w:val="000000"/>
        </w:rPr>
        <w:t>，</w:t>
      </w:r>
      <w:r>
        <w:rPr>
          <w:rFonts w:hint="eastAsia" w:ascii="彩虹粗仿宋" w:hAnsi="宋体" w:eastAsia="彩虹粗仿宋" w:cs="Arial"/>
          <w:sz w:val="24"/>
        </w:rPr>
        <w:t>基金管理人应保持联系方式畅通，后续补缴等事宜由基金管理人负责解决，由此给基金托管人、本基金和基金托管人托管的其他资产造成的直接损失由基金管理人承担。</w:t>
      </w:r>
    </w:p>
    <w:p>
      <w:pPr>
        <w:snapToGrid w:val="0"/>
        <w:ind w:firstLine="480" w:firstLineChars="200"/>
        <w:rPr>
          <w:rFonts w:hint="eastAsia" w:ascii="彩虹粗仿宋" w:hAnsi="宋体" w:eastAsia="彩虹粗仿宋"/>
          <w:sz w:val="24"/>
        </w:rPr>
      </w:pPr>
      <w:r>
        <w:rPr>
          <w:rFonts w:hint="eastAsia" w:ascii="彩虹粗仿宋" w:hAnsi="宋体" w:eastAsia="彩虹粗仿宋" w:cs="宋体"/>
          <w:color w:val="000000"/>
          <w:kern w:val="0"/>
          <w:sz w:val="24"/>
        </w:rPr>
        <w:t>基金管理人应采取合理、必要措施，确保T日日终有足够的资金头寸完成 T+1日</w:t>
      </w:r>
      <w:r>
        <w:rPr>
          <w:rFonts w:hint="eastAsia" w:ascii="彩虹粗仿宋" w:eastAsia="彩虹粗仿宋"/>
          <w:sz w:val="24"/>
        </w:rPr>
        <w:t>中国证券登记结算有限责任公司的资金</w:t>
      </w:r>
      <w:r>
        <w:rPr>
          <w:rFonts w:hint="eastAsia" w:ascii="彩虹粗仿宋" w:hAnsi="宋体" w:eastAsia="彩虹粗仿宋" w:cs="宋体"/>
          <w:color w:val="000000"/>
          <w:kern w:val="0"/>
          <w:sz w:val="24"/>
        </w:rPr>
        <w:t>交收；如因基金管理人原因导致资金头寸不足，基金管理人应</w:t>
      </w:r>
      <w:r>
        <w:rPr>
          <w:rFonts w:hint="eastAsia" w:ascii="彩虹粗仿宋" w:hAnsi="宋体" w:eastAsia="彩虹粗仿宋"/>
          <w:sz w:val="24"/>
        </w:rPr>
        <w:t>视基金托管</w:t>
      </w:r>
      <w:r>
        <w:rPr>
          <w:rFonts w:ascii="彩虹粗仿宋" w:hAnsi="宋体" w:eastAsia="彩虹粗仿宋"/>
          <w:sz w:val="24"/>
        </w:rPr>
        <w:t>人</w:t>
      </w:r>
      <w:r>
        <w:rPr>
          <w:rFonts w:hint="eastAsia" w:ascii="彩虹粗仿宋" w:hAnsi="宋体" w:eastAsia="彩虹粗仿宋"/>
          <w:sz w:val="24"/>
        </w:rPr>
        <w:t>最低结算备付金比例计收方式分别于下列时点补足透支金额：</w:t>
      </w:r>
    </w:p>
    <w:p>
      <w:pPr>
        <w:snapToGrid w:val="0"/>
        <w:ind w:firstLine="480" w:firstLineChars="200"/>
        <w:rPr>
          <w:rFonts w:hint="eastAsia" w:ascii="彩虹粗仿宋" w:hAnsi="宋体" w:eastAsia="彩虹粗仿宋"/>
          <w:sz w:val="24"/>
        </w:rPr>
      </w:pPr>
      <w:r>
        <w:rPr>
          <w:rFonts w:hint="eastAsia" w:ascii="彩虹粗仿宋" w:hAnsi="宋体" w:eastAsia="彩虹粗仿宋"/>
          <w:sz w:val="24"/>
        </w:rPr>
        <w:t>（</w:t>
      </w:r>
      <w:r>
        <w:rPr>
          <w:rFonts w:ascii="彩虹粗仿宋" w:hAnsi="宋体" w:eastAsia="彩虹粗仿宋"/>
          <w:sz w:val="24"/>
        </w:rPr>
        <w:t>1）固定备付金比例计收方式下，</w:t>
      </w:r>
      <w:r>
        <w:rPr>
          <w:rFonts w:hint="eastAsia" w:ascii="彩虹粗仿宋" w:hAnsi="宋体" w:eastAsia="彩虹粗仿宋"/>
          <w:sz w:val="24"/>
        </w:rPr>
        <w:t>基金</w:t>
      </w:r>
      <w:r>
        <w:rPr>
          <w:rFonts w:ascii="彩虹粗仿宋" w:hAnsi="宋体" w:eastAsia="彩虹粗仿宋"/>
          <w:sz w:val="24"/>
        </w:rPr>
        <w:t>管理人应</w:t>
      </w:r>
      <w:r>
        <w:rPr>
          <w:rFonts w:hint="eastAsia" w:ascii="彩虹粗仿宋" w:hAnsi="宋体" w:eastAsia="彩虹粗仿宋"/>
          <w:sz w:val="24"/>
        </w:rPr>
        <w:t>最晚于资金交收日上午</w:t>
      </w:r>
      <w:r>
        <w:rPr>
          <w:rFonts w:ascii="彩虹粗仿宋" w:hAnsi="宋体" w:eastAsia="彩虹粗仿宋"/>
          <w:sz w:val="24"/>
        </w:rPr>
        <w:t>11</w:t>
      </w:r>
      <w:r>
        <w:rPr>
          <w:rFonts w:hint="eastAsia" w:ascii="彩虹粗仿宋" w:hAnsi="宋体" w:eastAsia="彩虹粗仿宋"/>
          <w:sz w:val="24"/>
        </w:rPr>
        <w:t>：</w:t>
      </w:r>
      <w:r>
        <w:rPr>
          <w:rFonts w:ascii="彩虹粗仿宋" w:hAnsi="宋体" w:eastAsia="彩虹粗仿宋"/>
          <w:sz w:val="24"/>
        </w:rPr>
        <w:t>00前补足金额。</w:t>
      </w:r>
    </w:p>
    <w:p>
      <w:pPr>
        <w:adjustRightInd w:val="0"/>
        <w:snapToGrid w:val="0"/>
        <w:ind w:firstLine="480" w:firstLineChars="200"/>
        <w:rPr>
          <w:rFonts w:hint="eastAsia" w:ascii="彩虹粗仿宋" w:hAnsi="宋体" w:eastAsia="彩虹粗仿宋" w:cs="宋体"/>
          <w:color w:val="000000"/>
          <w:kern w:val="0"/>
          <w:sz w:val="24"/>
        </w:rPr>
      </w:pPr>
      <w:r>
        <w:rPr>
          <w:rFonts w:hint="eastAsia" w:ascii="彩虹粗仿宋" w:hAnsi="宋体" w:eastAsia="彩虹粗仿宋"/>
          <w:sz w:val="24"/>
        </w:rPr>
        <w:t>（</w:t>
      </w:r>
      <w:r>
        <w:rPr>
          <w:rFonts w:ascii="彩虹粗仿宋" w:hAnsi="宋体" w:eastAsia="彩虹粗仿宋"/>
          <w:sz w:val="24"/>
        </w:rPr>
        <w:t>2）差异化备付金比例计收方式下，</w:t>
      </w:r>
      <w:r>
        <w:rPr>
          <w:rFonts w:hint="eastAsia" w:ascii="彩虹粗仿宋" w:hAnsi="宋体" w:eastAsia="彩虹粗仿宋"/>
          <w:sz w:val="24"/>
        </w:rPr>
        <w:t>基金</w:t>
      </w:r>
      <w:r>
        <w:rPr>
          <w:rFonts w:ascii="彩虹粗仿宋" w:hAnsi="宋体" w:eastAsia="彩虹粗仿宋"/>
          <w:sz w:val="24"/>
        </w:rPr>
        <w:t>管理人应最晚于资金交收日</w:t>
      </w:r>
      <w:r>
        <w:rPr>
          <w:rFonts w:hint="eastAsia" w:ascii="彩虹粗仿宋" w:hAnsi="宋体" w:eastAsia="彩虹粗仿宋"/>
          <w:sz w:val="24"/>
        </w:rPr>
        <w:t>上午</w:t>
      </w:r>
      <w:r>
        <w:rPr>
          <w:rFonts w:ascii="彩虹粗仿宋" w:hAnsi="宋体" w:eastAsia="彩虹粗仿宋"/>
          <w:sz w:val="24"/>
        </w:rPr>
        <w:t>8：30前补足金额</w:t>
      </w:r>
      <w:r>
        <w:rPr>
          <w:rFonts w:hint="eastAsia" w:ascii="彩虹粗仿宋" w:hAnsi="宋体" w:eastAsia="彩虹粗仿宋" w:cs="宋体"/>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宋体"/>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sz w:val="24"/>
        </w:rPr>
        <w:t>对于中国证券登记结算有限责任公司实行</w:t>
      </w:r>
      <w:r>
        <w:rPr>
          <w:rFonts w:ascii="彩虹粗仿宋" w:hAnsi="宋体" w:eastAsia="彩虹粗仿宋"/>
          <w:sz w:val="24"/>
        </w:rPr>
        <w:t>T+0</w:t>
      </w:r>
      <w:r>
        <w:rPr>
          <w:rFonts w:hint="eastAsia" w:ascii="彩虹粗仿宋" w:hAnsi="宋体" w:eastAsia="彩虹粗仿宋"/>
          <w:sz w:val="24"/>
        </w:rPr>
        <w:t>非担保交收的业务，基金管理人应在交易日</w:t>
      </w:r>
      <w:r>
        <w:rPr>
          <w:rFonts w:ascii="彩虹粗仿宋" w:hAnsi="宋体" w:eastAsia="彩虹粗仿宋"/>
          <w:sz w:val="24"/>
        </w:rPr>
        <w:t>14:00前将划款指令发送至</w:t>
      </w:r>
      <w:r>
        <w:rPr>
          <w:rFonts w:hint="eastAsia" w:ascii="彩虹粗仿宋" w:hAnsi="宋体" w:eastAsia="彩虹粗仿宋"/>
          <w:sz w:val="24"/>
        </w:rPr>
        <w:t>基金托管人</w:t>
      </w:r>
      <w:r>
        <w:rPr>
          <w:rFonts w:ascii="彩虹粗仿宋" w:hAnsi="宋体" w:eastAsia="彩虹粗仿宋"/>
          <w:sz w:val="24"/>
        </w:rPr>
        <w:t>。因</w:t>
      </w:r>
      <w:r>
        <w:rPr>
          <w:rFonts w:hint="eastAsia" w:ascii="彩虹粗仿宋" w:hAnsi="宋体" w:eastAsia="彩虹粗仿宋"/>
          <w:sz w:val="24"/>
        </w:rPr>
        <w:t>基金管理人指令传输不及时，致使资金未能及时划入中国结算指定交收账户所造成的直接经济损失由基金管理人承担。包括但不限于赔偿在该市场引起基金托管人的其他托管客户交易失败产生的直接经济损失、赔偿因占用基金托管人作为结算参与人的最低备付金带来的利息损失。</w:t>
      </w:r>
    </w:p>
    <w:p>
      <w:pPr>
        <w:adjustRightInd w:val="0"/>
        <w:snapToGrid w:val="0"/>
        <w:ind w:firstLine="480"/>
        <w:rPr>
          <w:rFonts w:hint="eastAsia" w:ascii="彩虹粗仿宋" w:hAnsi="宋体" w:eastAsia="彩虹粗仿宋" w:cs="Arial"/>
          <w:sz w:val="24"/>
        </w:rPr>
      </w:pPr>
      <w:r>
        <w:rPr>
          <w:rFonts w:ascii="彩虹粗仿宋" w:hAnsi="宋体" w:eastAsia="彩虹粗仿宋" w:cs="Arial"/>
          <w:sz w:val="24"/>
        </w:rPr>
        <w:t>3</w:t>
      </w:r>
      <w:r>
        <w:rPr>
          <w:rFonts w:hint="eastAsia" w:ascii="彩虹粗仿宋" w:hAnsi="宋体" w:eastAsia="彩虹粗仿宋" w:cs="Arial"/>
          <w:sz w:val="24"/>
        </w:rPr>
        <w:t>.交易记录、资金和证券/期货账目核对的时间和方式</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（1）交易记录的核对</w:t>
      </w:r>
    </w:p>
    <w:p>
      <w:pPr>
        <w:adjustRightInd w:val="0"/>
        <w:snapToGrid w:val="0"/>
        <w:ind w:firstLine="480" w:firstLineChars="200"/>
        <w:rPr>
          <w:rFonts w:hint="eastAsia" w:ascii="彩虹粗仿宋" w:hAnsi="宋体" w:eastAsia="彩虹粗仿宋" w:cs="Arial"/>
          <w:sz w:val="24"/>
        </w:rPr>
      </w:pPr>
      <w:r>
        <w:rPr>
          <w:rFonts w:hint="eastAsia" w:ascii="彩虹粗仿宋" w:eastAsia="彩虹粗仿宋"/>
          <w:kern w:val="0"/>
          <w:sz w:val="24"/>
        </w:rPr>
        <w:t>基金管理人按日进行交易记录的核对。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（2）资金账目的核对</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资金账目按日核实。</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（3）证券</w:t>
      </w:r>
      <w:r>
        <w:rPr>
          <w:rFonts w:ascii="彩虹粗仿宋" w:hAnsi="宋体" w:eastAsia="彩虹粗仿宋" w:cs="Arial"/>
          <w:sz w:val="24"/>
        </w:rPr>
        <w:t>/</w:t>
      </w:r>
      <w:r>
        <w:rPr>
          <w:rFonts w:hint="eastAsia" w:ascii="彩虹粗仿宋" w:hAnsi="宋体" w:eastAsia="彩虹粗仿宋" w:cs="Arial"/>
          <w:sz w:val="24"/>
        </w:rPr>
        <w:t>期货账目的核对</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基金管理人和基金托管人每个工作日结束后核对基金证券/期货账目，确保双方账目相符。</w:t>
      </w:r>
    </w:p>
    <w:p>
      <w:pPr>
        <w:adjustRightInd w:val="0"/>
        <w:snapToGrid w:val="0"/>
        <w:ind w:firstLine="480"/>
        <w:outlineLvl w:val="0"/>
        <w:rPr>
          <w:rFonts w:hint="eastAsia" w:ascii="彩虹粗仿宋" w:hAnsi="宋体" w:eastAsia="彩虹粗仿宋" w:cs="Arial"/>
          <w:sz w:val="24"/>
        </w:rPr>
      </w:pPr>
      <w:r>
        <w:rPr>
          <w:rFonts w:hint="eastAsia" w:ascii="彩虹粗仿宋" w:hAnsi="宋体" w:eastAsia="彩虹粗仿宋" w:cs="Arial"/>
          <w:sz w:val="24"/>
        </w:rPr>
        <w:t>（三）基金申购和赎回业务处理的基本规定</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1.基金份额申购、赎回的确认、清算由基金管理人或其委托的注册登记机构负责。</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3.基金管理人应保证本基金（或本基金管理人委托）的注册登记机构每个工作日15:00前向基金托管人发送前一开放日上述有关数据，并保证相关数据的准确、完整。</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4.注册登记机构应通过与基金托管人建立的加密系统发送有关数据，如因各种原因，该系统无法正常发送，双方可协商解决处理方式。基金管理人向基金托管人发送的数据，双方各自按有关规定保存。</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5.如基金管理人委托其他机构办理本基金的注册登记业务，应保证上述相关事宜按时进行。否则，由基金管理人承担相应的责任。</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6.关于清算专用账户的设立和管理</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为满足申购、赎回及分红资金汇划的需要，由基金管理人开立资金清算的专用账户，该账户由注册登记机构管理。</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8.赎回和分红资金划拨规定</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9.资金指令</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除申购款项到达基金托管资金账户需双方按约定方式对账外，回购到期付款和与投资有关的付款、赎回和分红资金划拨时，基金管理人需向基金托管人下达指令。</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资金指令的格式、内容、发送、接收和确认方式等与投资指令相同。</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（四）申赎净额结算</w:t>
      </w:r>
    </w:p>
    <w:p>
      <w:pPr>
        <w:adjustRightInd w:val="0"/>
        <w:snapToGrid w:val="0"/>
        <w:ind w:firstLine="480"/>
      </w:pPr>
      <w:r>
        <w:rPr>
          <w:rFonts w:hint="eastAsia" w:ascii="彩虹粗仿宋" w:hAnsi="宋体" w:eastAsia="彩虹粗仿宋" w:cs="Arial"/>
          <w:sz w:val="24"/>
        </w:rPr>
        <w:t>基金托管资金账户与“基金清算账户”间的资金结算遵循“全额清算、净额交收”的原则，当存在托管资金账户净应收额时，基金管理人应在T日15:00之前从基金清算账户划到基金托管资金账户；当存在托管资金账户净应付额时，基金管理人应在T日10:00之前将划款指令发送给基金托管人，基金托管人按基金管理人的划款指令将托管资金账户净应付额在T日15:00之前划往基金清算账户。</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（五）基金转换</w:t>
      </w:r>
    </w:p>
    <w:p>
      <w:pPr>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1.在本基金开展转换业务之前，基金管理人应函告基金托管人并就相关事宜进行协商。</w:t>
      </w:r>
    </w:p>
    <w:p>
      <w:pPr>
        <w:adjustRightInd w:val="0"/>
        <w:snapToGrid w:val="0"/>
        <w:ind w:firstLine="480"/>
        <w:outlineLvl w:val="0"/>
        <w:rPr>
          <w:rFonts w:hint="eastAsia" w:ascii="彩虹粗仿宋" w:hAnsi="宋体" w:eastAsia="彩虹粗仿宋" w:cs="Arial"/>
          <w:sz w:val="24"/>
        </w:rPr>
      </w:pPr>
      <w:r>
        <w:rPr>
          <w:rFonts w:hint="eastAsia" w:ascii="彩虹粗仿宋" w:hAnsi="宋体" w:eastAsia="彩虹粗仿宋" w:cs="Arial"/>
          <w:sz w:val="24"/>
        </w:rPr>
        <w:t>2.基金托管人将根据基金管理人传送的基金转换数据进行账务处理，具体资金清算和数据传递的时间、程序及托管协议当事人承担的权责按基金管理人届时的公告执行。</w:t>
      </w:r>
    </w:p>
    <w:p>
      <w:pPr>
        <w:adjustRightInd w:val="0"/>
        <w:snapToGrid w:val="0"/>
        <w:ind w:firstLine="480"/>
        <w:outlineLvl w:val="0"/>
        <w:rPr>
          <w:rFonts w:hint="eastAsia" w:ascii="彩虹粗仿宋" w:hAnsi="宋体" w:eastAsia="彩虹粗仿宋" w:cs="Arial"/>
          <w:sz w:val="24"/>
        </w:rPr>
      </w:pPr>
      <w:r>
        <w:rPr>
          <w:rFonts w:hint="eastAsia" w:ascii="彩虹粗仿宋" w:hAnsi="宋体" w:eastAsia="彩虹粗仿宋" w:cs="Arial"/>
          <w:sz w:val="24"/>
        </w:rPr>
        <w:t>3.本基金开展基金转换业务应按相关法律法规规定及《基金合同》的约定进行公告。</w:t>
      </w:r>
    </w:p>
    <w:p>
      <w:pPr>
        <w:adjustRightInd w:val="0"/>
        <w:snapToGrid w:val="0"/>
        <w:ind w:firstLine="480"/>
        <w:outlineLvl w:val="0"/>
        <w:rPr>
          <w:rFonts w:hint="eastAsia" w:ascii="彩虹粗仿宋" w:hAnsi="宋体" w:eastAsia="彩虹粗仿宋" w:cs="Arial"/>
          <w:sz w:val="24"/>
        </w:rPr>
      </w:pPr>
      <w:r>
        <w:rPr>
          <w:rFonts w:hint="eastAsia" w:ascii="彩虹粗仿宋" w:hAnsi="宋体" w:eastAsia="彩虹粗仿宋" w:cs="Arial"/>
          <w:sz w:val="24"/>
        </w:rPr>
        <w:t>（六）基金现金分红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1.基金管理人确定分红方案通知基金托管人，双方核定后</w:t>
      </w:r>
      <w:r>
        <w:rPr>
          <w:rFonts w:hint="eastAsia" w:ascii="彩虹粗仿宋" w:eastAsia="彩虹粗仿宋"/>
          <w:sz w:val="24"/>
          <w:szCs w:val="18"/>
        </w:rPr>
        <w:t>依照《公开募集证券投资基金信息披露管理办法》（以下简称“《信息披露办法》”）的有关规定在中国证监会规定媒介上公告</w:t>
      </w:r>
      <w:r>
        <w:rPr>
          <w:rFonts w:hint="eastAsia" w:ascii="彩虹粗仿宋" w:hAnsi="宋体" w:eastAsia="彩虹粗仿宋" w:cs="Arial"/>
          <w:sz w:val="24"/>
        </w:rPr>
        <w:t>。</w:t>
      </w:r>
    </w:p>
    <w:p>
      <w:pPr>
        <w:adjustRightInd w:val="0"/>
        <w:snapToGrid w:val="0"/>
        <w:ind w:firstLine="482"/>
        <w:rPr>
          <w:rFonts w:hint="eastAsia" w:ascii="彩虹粗仿宋" w:hAnsi="宋体" w:eastAsia="彩虹粗仿宋" w:cs="Arial"/>
          <w:sz w:val="24"/>
        </w:rPr>
      </w:pPr>
      <w:r>
        <w:rPr>
          <w:rFonts w:hint="eastAsia" w:ascii="彩虹粗仿宋" w:hAnsi="宋体" w:eastAsia="彩虹粗仿宋" w:cs="Arial"/>
          <w:sz w:val="24"/>
        </w:rPr>
        <w:t>2.基金托管人和基金管理人对基金分红进行账务处理并核对后，基金管理人向基金托管人发送现金红利的划款指令，基金托管人应及时将资金划入专用账户。</w:t>
      </w:r>
    </w:p>
    <w:p>
      <w:pPr>
        <w:snapToGrid w:val="0"/>
        <w:ind w:firstLine="482"/>
        <w:rPr>
          <w:rFonts w:hint="eastAsia" w:ascii="彩虹粗仿宋" w:hAnsi="宋体" w:eastAsia="彩虹粗仿宋" w:cs="Arial"/>
          <w:sz w:val="24"/>
        </w:rPr>
      </w:pPr>
      <w:r>
        <w:rPr>
          <w:rFonts w:hint="eastAsia" w:ascii="彩虹粗仿宋" w:hAnsi="宋体" w:eastAsia="彩虹粗仿宋" w:cs="Arial"/>
          <w:sz w:val="24"/>
        </w:rPr>
        <w:t>3.基金管理人在下达指令时，应给基金托管人留出必需的划款时间。</w:t>
      </w:r>
    </w:p>
    <w:p>
      <w:pPr>
        <w:snapToGrid w:val="0"/>
        <w:ind w:firstLine="482"/>
        <w:rPr>
          <w:rFonts w:hint="eastAsia" w:ascii="彩虹粗仿宋" w:hAnsi="宋体" w:eastAsia="彩虹粗仿宋" w:cs="Arial"/>
          <w:sz w:val="24"/>
        </w:rPr>
      </w:pPr>
      <w:r>
        <w:rPr>
          <w:rFonts w:hint="eastAsia" w:ascii="彩虹粗仿宋" w:hAnsi="宋体" w:eastAsia="彩虹粗仿宋" w:cs="Arial"/>
          <w:sz w:val="24"/>
        </w:rPr>
        <w:t>（七）投资银行存款的特别约定</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1.本基金投资银行存款前，基金管理人应与存款银行签订具体存款协议，包括但不限于以下内容：</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（1）存款账户必须以本基金名义开立,并将基金托管人为本基金开立的基金托管资金账户指定为唯一回款账户，任何情况下，存款银行都不得将存款投资本息划往任何其他账户。</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（2）存款银行不得接受基金管理人或基金托管人任何一方单方面提出的对存款进行更名、转让、挂失、质押、担保、撤销、变更印鉴及回款账户信息等可能导致财产转移的操作申请。</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（3）约定存款证实书的具体传递交接方式及交接期限。</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（4）资金划转过程中需要使用存款银行过渡账户的，存款银行须保证资金在过渡账户中不出现滞留，不被挪用。</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本基金投资银行存款，必须采用双方认可的方式办理。托管人负责依据管理人提供的银行存款投资合同/协议、投资指令、支取通知等有关文件办理资金的支付以及存款证实书的审核、接收、保管与交付，切实履行托管职责。托管人负责对存款开户证实书进行保管，不负责对存款开户证实书真伪的辨别，不承担存款开户证实书对应存款的本金及收益的安全。</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pPr>
        <w:adjustRightInd w:val="0"/>
        <w:snapToGrid w:val="0"/>
        <w:ind w:firstLine="480" w:firstLineChars="200"/>
        <w:rPr>
          <w:rFonts w:hint="eastAsia" w:ascii="彩虹粗仿宋" w:hAnsi="宋体" w:eastAsia="彩虹粗仿宋" w:cs="Arial"/>
          <w:color w:val="000000"/>
          <w:sz w:val="24"/>
        </w:rPr>
      </w:pPr>
      <w:r>
        <w:rPr>
          <w:rFonts w:hint="eastAsia" w:ascii="彩虹粗仿宋" w:hAnsi="宋体" w:eastAsia="彩虹粗仿宋" w:cs="Arial"/>
          <w:color w:val="000000"/>
          <w:sz w:val="24"/>
        </w:rPr>
        <w:t>4、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托管人保管后解除。实物凭证未送达但存款本息已安全划回托管</w:t>
      </w:r>
      <w:r>
        <w:rPr>
          <w:rFonts w:hint="eastAsia" w:ascii="彩虹粗仿宋" w:hAnsi="宋体" w:eastAsia="彩虹粗仿宋" w:cs="Arial"/>
          <w:sz w:val="24"/>
        </w:rPr>
        <w:t>资金</w:t>
      </w:r>
      <w:r>
        <w:rPr>
          <w:rFonts w:hint="eastAsia" w:ascii="彩虹粗仿宋" w:hAnsi="宋体" w:eastAsia="彩虹粗仿宋" w:cs="Arial"/>
          <w:color w:val="000000"/>
          <w:sz w:val="24"/>
        </w:rPr>
        <w:t>账户的，以及因发生特殊情况由管理人提供相关书面说明并重新承诺送单截止时间的，可剔除不计。</w:t>
      </w:r>
    </w:p>
    <w:p>
      <w:pPr>
        <w:adjustRightInd w:val="0"/>
        <w:snapToGrid w:val="0"/>
        <w:ind w:firstLine="480" w:firstLineChars="200"/>
        <w:rPr>
          <w:rFonts w:hint="eastAsia" w:ascii="彩虹粗仿宋" w:hAnsi="宋体" w:eastAsia="彩虹粗仿宋" w:cs="Arial"/>
          <w:color w:val="000000"/>
          <w:sz w:val="24"/>
        </w:rPr>
      </w:pPr>
      <w:r>
        <w:rPr>
          <w:rFonts w:hint="eastAsia" w:ascii="彩虹粗仿宋" w:hAnsi="宋体" w:eastAsia="彩虹粗仿宋" w:cs="Arial"/>
          <w:color w:val="000000"/>
          <w:sz w:val="24"/>
        </w:rPr>
        <w:t>（八）</w:t>
      </w:r>
      <w:bookmarkStart w:id="100" w:name="OLE_LINK21"/>
      <w:r>
        <w:rPr>
          <w:rFonts w:hint="eastAsia" w:ascii="彩虹粗仿宋" w:hAnsi="宋体" w:eastAsia="彩虹粗仿宋" w:cs="Arial"/>
          <w:color w:val="000000"/>
          <w:sz w:val="24"/>
        </w:rPr>
        <w:t>托管产品</w:t>
      </w:r>
      <w:bookmarkEnd w:id="100"/>
      <w:r>
        <w:rPr>
          <w:rFonts w:hint="eastAsia" w:ascii="彩虹粗仿宋" w:hAnsi="宋体" w:eastAsia="彩虹粗仿宋" w:cs="Arial"/>
          <w:color w:val="000000"/>
          <w:sz w:val="24"/>
        </w:rPr>
        <w:t>通过</w:t>
      </w:r>
      <w:bookmarkStart w:id="101" w:name="OLE_LINK20"/>
      <w:r>
        <w:rPr>
          <w:rFonts w:hint="eastAsia" w:ascii="彩虹粗仿宋" w:hAnsi="宋体" w:eastAsia="彩虹粗仿宋" w:cs="Arial"/>
          <w:color w:val="000000"/>
          <w:sz w:val="24"/>
        </w:rPr>
        <w:t>第三方销售机构</w:t>
      </w:r>
      <w:bookmarkEnd w:id="101"/>
      <w:r>
        <w:rPr>
          <w:rFonts w:hint="eastAsia" w:ascii="彩虹粗仿宋" w:hAnsi="宋体" w:eastAsia="彩虹粗仿宋" w:cs="Arial"/>
          <w:color w:val="000000"/>
          <w:sz w:val="24"/>
        </w:rPr>
        <w:t>参与开放式基金投资的特别约定（如适用）</w:t>
      </w:r>
    </w:p>
    <w:p>
      <w:pPr>
        <w:adjustRightInd w:val="0"/>
        <w:snapToGrid w:val="0"/>
        <w:ind w:firstLine="480" w:firstLineChars="200"/>
        <w:rPr>
          <w:rFonts w:hint="eastAsia" w:ascii="彩虹粗仿宋" w:hAnsi="宋体" w:eastAsia="彩虹粗仿宋" w:cs="Arial"/>
          <w:color w:val="000000"/>
          <w:sz w:val="24"/>
        </w:rPr>
      </w:pPr>
      <w:r>
        <w:rPr>
          <w:rFonts w:hint="eastAsia" w:ascii="彩虹粗仿宋" w:hAnsi="宋体" w:eastAsia="彩虹粗仿宋" w:cs="Arial"/>
          <w:color w:val="000000"/>
          <w:sz w:val="24"/>
        </w:rPr>
        <w:t>本产品可以通过第三方基金销售机构渠道投资开放式基金。为维护产品持有人利益、保障资产安全，基金管理人应负责制订选择第三方基金销售机构的标准和程序，并据此选择第三方销售机构。对于第三方基金销售机构原因给本产品造成损失的，相关责任由基金管理人承担。</w:t>
      </w:r>
    </w:p>
    <w:p>
      <w:pPr>
        <w:adjustRightInd w:val="0"/>
        <w:snapToGrid w:val="0"/>
        <w:ind w:firstLine="480" w:firstLineChars="200"/>
        <w:rPr>
          <w:rFonts w:hint="eastAsia" w:ascii="彩虹粗仿宋" w:hAnsi="宋体" w:eastAsia="彩虹粗仿宋" w:cs="Arial"/>
          <w:sz w:val="24"/>
        </w:rPr>
      </w:pPr>
    </w:p>
    <w:p>
      <w:pPr>
        <w:pStyle w:val="2"/>
        <w:jc w:val="center"/>
        <w:rPr>
          <w:rFonts w:ascii="彩虹粗仿宋" w:eastAsia="彩虹粗仿宋"/>
          <w:sz w:val="30"/>
        </w:rPr>
      </w:pPr>
      <w:bookmarkStart w:id="102" w:name="_Toc124325892"/>
      <w:r>
        <w:rPr>
          <w:rFonts w:hint="eastAsia" w:ascii="彩虹粗仿宋" w:eastAsia="彩虹粗仿宋"/>
          <w:sz w:val="30"/>
        </w:rPr>
        <w:t xml:space="preserve"> 八、基金资产净值计算和会计核算</w:t>
      </w:r>
      <w:bookmarkEnd w:id="102"/>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（一）基金资产净值的计算、复核与完成的时间及程序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1.基金资产净值是指基金资产总值减去基金负债后的价值。各类基金份额的基金份额净值是按照每个工作日闭市后，该类基金资产净值除以当日该类基金份额的余额数量计算，精确到0.00</w:t>
      </w:r>
      <w:r>
        <w:rPr>
          <w:rFonts w:ascii="彩虹粗仿宋" w:hAnsi="宋体" w:eastAsia="彩虹粗仿宋" w:cs="Arial"/>
          <w:sz w:val="24"/>
        </w:rPr>
        <w:t>0</w:t>
      </w:r>
      <w:r>
        <w:rPr>
          <w:rFonts w:hint="eastAsia" w:ascii="彩虹粗仿宋" w:hAnsi="宋体" w:eastAsia="彩虹粗仿宋" w:cs="Arial"/>
          <w:sz w:val="24"/>
        </w:rPr>
        <w:t>1元，小数点后第五位四舍五入，由此产生的误差计入基金财产。基金管理人可以设立大额赎回情形下的净值精度应急调整机制。国家另有规定的，从其规定。</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基金管理人每个工作日计算基金资产净值及各类基金份额净值，并按规定公告。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管理人应每个工作日对基金资产估值。但基金管理人根据法律法规或《基金合同》的规定暂停估值时除外。基金管理人每个工作日对基金资产估值后，将基金资产净值、各类基金份额净值结果发送基金托管人，经基金托管人复核无误后，由基金管理人按规定对外公布。</w:t>
      </w:r>
    </w:p>
    <w:p>
      <w:pPr>
        <w:ind w:firstLine="480" w:firstLineChars="200"/>
        <w:rPr>
          <w:rFonts w:hint="eastAsia" w:ascii="彩虹粗仿宋" w:hAnsi="宋体" w:eastAsia="彩虹粗仿宋" w:cs="Arial"/>
          <w:sz w:val="24"/>
        </w:rPr>
      </w:pPr>
      <w:r>
        <w:rPr>
          <w:rFonts w:hint="eastAsia" w:ascii="彩虹粗仿宋" w:hAnsi="宋体" w:eastAsia="彩虹粗仿宋" w:cs="Arial"/>
          <w:sz w:val="24"/>
        </w:rPr>
        <w:t>（二）基金资产估值方法和特殊情形的处理</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1.估值对象</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基金所拥有的股票、存托凭证、期货期权合约、证券投资基金、信用衍生品、资产支持证券、债券和银行存款本息、应收款项、其它投资等资产及负债。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2.估值方法</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本基金所持有的投资品种，按如下原则进行估值 ：</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（1）证券交易所上市的有价证券的估值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2）交易所上市交易或挂牌转让的不含权固定收益品种（另有规定的除外），选取估值日第三方估值机构提供的相应品种当日的估值全价进行估值；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3）交易所上市交易或挂牌转让的含权固定收益品种（另有规定的除外），选取估值日第三方估值机构提供的相应品种当日的唯一估值全价或推荐估值全价进行估值；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5）交易所上市不存在活跃市场的有价证券，采用估值技术确定公允价值；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（2）处于未上市期间的有价证券应区分如下情况处理：</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1）送股、转增股、配股和公开增发的股票，按估值日在证券交易所挂牌的同一股票的估值方法估值；该日无交易的，以最近一日的市价（收盘价）估值；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2）首次公开发行未上市的股票，采用估值技术确定公允价值，在估值技术难以可靠计量公允价值的情况下，应采用当前情况下适用并且有足够可利用数据和其他信息支持的估值技术确定其公允价值；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采用估值技术确定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（4）金融衍生品的估值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1）评估金融衍生品价值时，应当采用市场公认或者合理的估值方法确定公允价值；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股指期货合约、国债期货合约一般以估值当日结算价进行估值，估值当日无结算价的，且最近交易日后经济环境未发生重大变化的，采用最近交易日结算价估值。如有相关法律法规以及监管部门相关规定，按其规定内容进行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szCs w:val="20"/>
        </w:rPr>
        <w:t>本基金投资股票期权，根据相关法律法规以及监管部门的规定估值。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信用衍生品按第三方估值机构提供的当日估值价进行估值，但基金管理人依法应当承担的估值责任不因委托而免除；选定的第三方估值机构未提供估值价格的，依照有关法律法规及企业会计准则要求采用合理估值技术确定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（5）同一证券同时在两个或两个以上市场交易的，按证券所处的市场分别估值。</w:t>
      </w:r>
    </w:p>
    <w:p>
      <w:pPr>
        <w:adjustRightInd w:val="0"/>
        <w:snapToGrid w:val="0"/>
        <w:ind w:firstLine="480" w:firstLineChars="200"/>
        <w:rPr>
          <w:rStyle w:val="30"/>
        </w:rPr>
      </w:pPr>
      <w:r>
        <w:rPr>
          <w:rFonts w:hint="eastAsia" w:ascii="彩虹粗仿宋" w:hAnsi="宋体" w:eastAsia="彩虹粗仿宋" w:cs="Arial"/>
          <w:sz w:val="24"/>
        </w:rPr>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（7）本基金持有的回购以成本列示，按合同利率在回购期间内逐日计提应收或应付利息。</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（8）本基金持有的银行存款和备付金余额以本金列示，按相应利率逐日计提利息。</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（9）当本基金发生大额申购或赎回情形时，基金管理人可以采用摆动定价机制，以确保基金估值的公平性。具体处理原则与操作规范遵循相关法律法规以及监管部门、自律规则的规定。</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（10）基金估值方法</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1）投资于非上市证券投资基金的估值：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投资的境内非货币市场基金，按所投基金估值日的份额净值估值。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2）投资于交易所上市基金的估值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①投资的交易型开放式证券投资基金，按所投资的交易型开放式证券投资基金估值日的收盘价估值；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②境内上市开放式基金（LOF）按其估值日的份额净值估值；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③境内上市定期开放式基金、封闭式基金按其估值日的收盘价估值。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3）如遇所投资基金不公布基金份额净值、进行折算或拆分、估值日无交易等特殊情况，根据以下原则进行估值：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①以所投资基金的基金份额净值估值的，若所投资基金与本基金估值频率一致但未公布估值日基金份额净值，按其最近公布的基金份额净值为基础估值；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③如果所投资基金前一估值日至估值日期间发生分红除权、折算或拆分，基金管理人应根据基金份额净值或收盘价、单位基金份额分红金额、折算拆分比例、持仓份额等因素合理确定公允价值。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4）当基金管理人认为所投资基金按上述第1）至第3）项进行估值存在不公允时，应与基金托管人协商一致采用合理的估值技术或估值标准确定其公允价值。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（11）本基金投资存托凭证的估值核算，依照境内上市交易的股票执行。</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12）估值计算中涉及港币或其他外币币种对人民币汇率的，将依据下列信息提供机构所提供的汇率为基准：当日中国人民银行或其授权机构公布的人民币汇率的中间价，或其他可以反映公允价值的汇率进行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（13）本基金参与融资业务的，按照相关法律法规、监管部门和行业协会的相关规定进行估值。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（14）如有确凿证据表明按上述方法进行估值不能客观反映其公允价值的，基金管理人可根据具体情况与基金托管人商定后，按最能反映公允价值的价格估值。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（15）相关法律法规以及监管机构有强制规定的，从其规定。如有新增事项，按国家最新规定估值。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ind w:firstLine="480" w:firstLineChars="200"/>
        <w:rPr>
          <w:rFonts w:hint="eastAsia" w:ascii="彩虹粗仿宋" w:hAnsi="宋体" w:eastAsia="彩虹粗仿宋" w:cs="Arial"/>
          <w:color w:val="000000"/>
          <w:sz w:val="24"/>
          <w:highlight w:val="green"/>
        </w:rPr>
      </w:pPr>
      <w:r>
        <w:rPr>
          <w:rFonts w:hint="eastAsia" w:ascii="彩虹粗仿宋" w:hAnsi="宋体" w:eastAsia="彩虹粗仿宋" w:cs="Arial"/>
          <w:color w:val="000000"/>
          <w:sz w:val="24"/>
        </w:rPr>
        <w:t>鉴于本基金允许投资由基金管理人管理的非上市基金，基金管理人和基金托管人需根据已披露的份额净值信息进行估值。如因基金管理人披露的份额净值错误或无法于双方约定的时间披露份额净值导致的估值错误，相关责任由基金管理人承担。如有其他责任方的，管理人可向其他责任方追偿。</w:t>
      </w:r>
    </w:p>
    <w:p>
      <w:pPr>
        <w:adjustRightInd w:val="0"/>
        <w:snapToGrid w:val="0"/>
        <w:ind w:firstLine="480"/>
        <w:rPr>
          <w:rFonts w:ascii="彩虹粗仿宋" w:eastAsia="彩虹粗仿宋"/>
          <w:sz w:val="24"/>
          <w:szCs w:val="21"/>
        </w:rPr>
      </w:pPr>
      <w:r>
        <w:rPr>
          <w:rFonts w:hint="eastAsia" w:ascii="彩虹粗仿宋" w:hAnsi="宋体" w:eastAsia="彩虹粗仿宋"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pPr>
        <w:adjustRightInd w:val="0"/>
        <w:snapToGrid w:val="0"/>
        <w:ind w:firstLine="480"/>
        <w:rPr>
          <w:rStyle w:val="50"/>
          <w:rFonts w:hint="eastAsia" w:ascii="彩虹粗仿宋" w:hAnsi="宋体" w:eastAsia="彩虹粗仿宋" w:cs="Arial"/>
          <w:sz w:val="24"/>
        </w:rPr>
      </w:pPr>
      <w:r>
        <w:rPr>
          <w:rStyle w:val="50"/>
          <w:rFonts w:hint="eastAsia" w:ascii="彩虹粗仿宋" w:hAnsi="宋体" w:eastAsia="彩虹粗仿宋" w:cs="Arial"/>
          <w:sz w:val="24"/>
        </w:rPr>
        <w:t>3.特殊情形的处理</w:t>
      </w:r>
    </w:p>
    <w:p>
      <w:pPr>
        <w:adjustRightInd w:val="0"/>
        <w:snapToGrid w:val="0"/>
        <w:ind w:firstLine="480" w:firstLineChars="200"/>
        <w:rPr>
          <w:rStyle w:val="50"/>
          <w:rFonts w:ascii="彩虹粗仿宋" w:eastAsia="彩虹粗仿宋"/>
          <w:sz w:val="24"/>
        </w:rPr>
      </w:pPr>
      <w:r>
        <w:rPr>
          <w:rStyle w:val="50"/>
          <w:rFonts w:hint="eastAsia" w:ascii="彩虹粗仿宋" w:hAnsi="宋体" w:eastAsia="彩虹粗仿宋" w:cs="Arial"/>
          <w:sz w:val="24"/>
        </w:rPr>
        <w:t>基金管理人、基金托管人按估值方法的第(14)项进行估值时，所造成的误差不作为基金资产估值</w:t>
      </w:r>
      <w:r>
        <w:rPr>
          <w:rStyle w:val="50"/>
          <w:rFonts w:hint="eastAsia" w:ascii="彩虹粗仿宋" w:eastAsia="彩虹粗仿宋"/>
          <w:sz w:val="24"/>
        </w:rPr>
        <w:t>错误处理。</w:t>
      </w:r>
    </w:p>
    <w:p>
      <w:pPr>
        <w:adjustRightInd w:val="0"/>
        <w:snapToGrid w:val="0"/>
        <w:ind w:firstLine="480" w:firstLineChars="200"/>
        <w:rPr>
          <w:rStyle w:val="50"/>
          <w:rFonts w:ascii="彩虹粗仿宋" w:eastAsia="彩虹粗仿宋"/>
          <w:sz w:val="24"/>
        </w:rPr>
      </w:pPr>
      <w:r>
        <w:rPr>
          <w:rStyle w:val="50"/>
          <w:rFonts w:hint="eastAsia" w:ascii="彩虹粗仿宋" w:eastAsia="彩虹粗仿宋"/>
          <w:sz w:val="24"/>
        </w:rPr>
        <w:t>（三）基金份额净值错误的处理方式</w:t>
      </w:r>
    </w:p>
    <w:p>
      <w:pPr>
        <w:adjustRightInd w:val="0"/>
        <w:snapToGrid w:val="0"/>
        <w:ind w:firstLine="480" w:firstLineChars="200"/>
        <w:rPr>
          <w:rStyle w:val="50"/>
          <w:rFonts w:ascii="彩虹粗仿宋" w:eastAsia="彩虹粗仿宋"/>
          <w:sz w:val="24"/>
        </w:rPr>
      </w:pPr>
      <w:r>
        <w:rPr>
          <w:rStyle w:val="50"/>
          <w:rFonts w:hint="eastAsia" w:ascii="彩虹粗仿宋" w:eastAsia="彩虹粗仿宋"/>
          <w:sz w:val="24"/>
        </w:rPr>
        <w:t>1.当任一类基金份额净值小数点后</w:t>
      </w:r>
      <w:r>
        <w:rPr>
          <w:rStyle w:val="50"/>
          <w:rFonts w:ascii="彩虹粗仿宋" w:eastAsia="彩虹粗仿宋"/>
          <w:sz w:val="24"/>
        </w:rPr>
        <w:t>4</w:t>
      </w:r>
      <w:r>
        <w:rPr>
          <w:rStyle w:val="50"/>
          <w:rFonts w:hint="eastAsia" w:ascii="彩虹粗仿宋" w:eastAsia="彩虹粗仿宋"/>
          <w:sz w:val="24"/>
        </w:rPr>
        <w:t>位以内(含第</w:t>
      </w:r>
      <w:r>
        <w:rPr>
          <w:rStyle w:val="50"/>
          <w:rFonts w:ascii="彩虹粗仿宋" w:eastAsia="彩虹粗仿宋"/>
          <w:sz w:val="24"/>
        </w:rPr>
        <w:t>4</w:t>
      </w:r>
      <w:r>
        <w:rPr>
          <w:rStyle w:val="50"/>
          <w:rFonts w:hint="eastAsia" w:ascii="彩虹粗仿宋" w:eastAsia="彩虹粗仿宋"/>
          <w:sz w:val="24"/>
        </w:rPr>
        <w:t>位)发生差错时，均视为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Pr>
          <w:rFonts w:hint="eastAsia" w:ascii="彩虹粗仿宋" w:eastAsia="彩虹粗仿宋" w:cs="Arial"/>
          <w:sz w:val="24"/>
        </w:rPr>
        <w:t>；错误偏差达到该类基金份额净值的</w:t>
      </w:r>
      <w:r>
        <w:rPr>
          <w:rFonts w:hint="eastAsia" w:ascii="彩虹粗仿宋" w:hAnsi="宋体" w:eastAsia="彩虹粗仿宋"/>
          <w:sz w:val="24"/>
        </w:rPr>
        <w:t>0.5%时，基金管理人应当公告</w:t>
      </w:r>
      <w:r>
        <w:rPr>
          <w:rFonts w:hint="eastAsia" w:ascii="彩虹粗仿宋" w:hAnsi="宋体" w:eastAsia="彩虹粗仿宋" w:cs="Arial"/>
          <w:sz w:val="24"/>
        </w:rPr>
        <w:t>，并报中国证监会备案</w:t>
      </w:r>
      <w:r>
        <w:rPr>
          <w:rStyle w:val="50"/>
          <w:rFonts w:hint="eastAsia" w:ascii="彩虹粗仿宋" w:eastAsia="彩虹粗仿宋"/>
          <w:sz w:val="24"/>
        </w:rPr>
        <w:t>；当发生净值计算错误时，由基金管理人负责处理，由此给基金份额持有人和基金造成损失的，应由基金管理人先行赔付，基金管理人按差错情形，有权向其他当事人追偿。</w:t>
      </w:r>
    </w:p>
    <w:p>
      <w:pPr>
        <w:adjustRightInd w:val="0"/>
        <w:snapToGrid w:val="0"/>
        <w:ind w:firstLine="480" w:firstLineChars="200"/>
        <w:rPr>
          <w:rStyle w:val="50"/>
          <w:rFonts w:ascii="彩虹粗仿宋" w:eastAsia="彩虹粗仿宋"/>
          <w:sz w:val="24"/>
        </w:rPr>
      </w:pPr>
      <w:r>
        <w:rPr>
          <w:rStyle w:val="50"/>
          <w:rFonts w:hint="eastAsia" w:ascii="彩虹粗仿宋" w:eastAsia="彩虹粗仿宋"/>
          <w:sz w:val="24"/>
        </w:rPr>
        <w:t>2.当基金份额净值计算差错给基金和基金份额持有人造成损失需要进行赔偿时，基金管理人和基金托管人根据实际情况界定双方承担的责任，经确认后按以下条款进行赔偿：</w:t>
      </w:r>
    </w:p>
    <w:p>
      <w:pPr>
        <w:adjustRightInd w:val="0"/>
        <w:snapToGrid w:val="0"/>
        <w:ind w:firstLine="480" w:firstLineChars="200"/>
        <w:rPr>
          <w:rFonts w:hint="eastAsia" w:ascii="彩虹粗仿宋" w:hAnsi="宋体" w:eastAsia="彩虹粗仿宋" w:cs="Arial"/>
          <w:sz w:val="24"/>
        </w:rPr>
      </w:pPr>
      <w:r>
        <w:rPr>
          <w:rStyle w:val="50"/>
          <w:rFonts w:hint="eastAsia" w:ascii="彩虹粗仿宋" w:eastAsia="彩虹粗仿宋"/>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hint="eastAsia" w:ascii="彩虹粗仿宋" w:hAnsi="宋体" w:eastAsia="彩虹粗仿宋" w:cs="Arial"/>
          <w:sz w:val="24"/>
        </w:rPr>
        <w:t>损失，由基金管理人负责赔付。</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w:t>
      </w:r>
      <w:r>
        <w:rPr>
          <w:rFonts w:hint="eastAsia" w:ascii="彩虹粗仿宋" w:eastAsia="彩虹粗仿宋"/>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率和托管费率的比例各自承担相应的责任。</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基金托管人不承担相应责任，由基金管理人负责赔付。</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由于一方当事人提供的信息错误，另一方当事人在采取了必要合理的措施后仍不能发现该错误，进而导致净值计算错误造成基金投资人的损失，以及由此造成以后交易日净值计算顺延错误而引起的基金投资人的损失，由提供错误信息的当事人一方负责赔偿。</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由于不可抗力原因，或证券/期货交易所、登记机构、存款银行及第三方估值机构等第三方机构发送的数据错误，或国家会计政策变更、市场规则变更等非基金管理人与基金托管人原因，基金管理人和基金托管人虽然已经采取必要、适当、合理的措施进行检查，但未能发现错误、遗漏的，由此造成的基金财产估值错误，基金管理人和基金托管人免除赔偿责任。但基金管理人、基金托管人应当积极采取必要的措施消除或减轻由此造成的影响。</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4.基金管理人和基金托管人由于各自技术系统设置而产生的净值计算尾差，以基金管理人计算结果为准。</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5.前述内容如法律法规或者监管部门另有规定的，从其规定。如果行业另有通行做法，在不违反法律法规且不损害投资者利益的前提下，双方当事人应本着平等和保护基金份额持有人利益的原则进行协商。</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（四）暂停估值与公告基金份额净值的情形</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1.基金投资所涉及的证券、期货交易市场或外汇市场遇法定节假日或因其他原因暂停营业时；</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2.因不可抗力致使基金管理人、基金托管人无法准确评估基金资产价值时；</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3当特定资产占前一估值日基金资产净值50%以上的，经与基金托管人协商确认后，基金管理人应当暂停估值；</w:t>
      </w:r>
    </w:p>
    <w:p>
      <w:pPr>
        <w:numPr>
          <w:ilvl w:val="0"/>
          <w:numId w:val="1"/>
        </w:num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法律法规、中国证监会和《基金合同》认定的其他情形。</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（五）实施侧袋机制期间的基金资产估值</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本基金实施侧袋机制的，应根据本部分的约定对主袋账户资产进行估值并披露主袋账户的基金净值信息，暂停披露侧袋账户份额净值。</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（六）基金会计制度</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按国家有关部门规定的会计制度执行。</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（七）基金账册的建立</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（八）基金财务报表与报告的编制和复核</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1.财务报表的编制</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基金财务报表由基金管理人编制，基金托管人复核。</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2.报表复核</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基金托管人在收到基金管理人编制的基金财务报表后，进行独立的复核。核对不符时，应及时通知基金管理人共同查出原因，进行调整，直至双方数据完全一致。</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3.财务报表的编制与复核时间安排</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(1)报表的编制</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pPr>
        <w:pStyle w:val="3"/>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(2)报表的复核</w:t>
      </w:r>
    </w:p>
    <w:p>
      <w:pPr>
        <w:pStyle w:val="3"/>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pPr>
        <w:pStyle w:val="3"/>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pPr>
        <w:pStyle w:val="3"/>
        <w:adjustRightInd w:val="0"/>
        <w:snapToGrid w:val="0"/>
        <w:ind w:firstLine="480"/>
        <w:rPr>
          <w:rFonts w:hint="eastAsia" w:ascii="彩虹粗仿宋" w:hAnsi="宋体" w:eastAsia="彩虹粗仿宋" w:cs="Arial"/>
          <w:sz w:val="24"/>
        </w:rPr>
      </w:pPr>
      <w:r>
        <w:rPr>
          <w:rFonts w:hint="eastAsia" w:ascii="彩虹粗仿宋" w:hAnsi="宋体" w:eastAsia="彩虹粗仿宋" w:cs="Arial"/>
          <w:sz w:val="24"/>
        </w:rPr>
        <w:t>（九）基金管理人应在编制季度报告、中期报告或者年度报告之前及时向基金托管人提供基金业绩比较基准的基础数据和编制结果。</w:t>
      </w:r>
    </w:p>
    <w:p>
      <w:pPr>
        <w:pStyle w:val="3"/>
        <w:adjustRightInd w:val="0"/>
        <w:snapToGrid w:val="0"/>
        <w:ind w:firstLine="0" w:firstLineChars="0"/>
        <w:rPr>
          <w:rFonts w:hint="eastAsia" w:ascii="彩虹粗仿宋" w:hAnsi="宋体" w:eastAsia="彩虹粗仿宋" w:cs="Arial"/>
          <w:sz w:val="24"/>
        </w:rPr>
      </w:pPr>
    </w:p>
    <w:p>
      <w:pPr>
        <w:pStyle w:val="2"/>
        <w:jc w:val="center"/>
        <w:rPr>
          <w:rFonts w:ascii="彩虹粗仿宋" w:eastAsia="彩虹粗仿宋"/>
          <w:sz w:val="30"/>
        </w:rPr>
      </w:pPr>
      <w:bookmarkStart w:id="103" w:name="_Toc124325893"/>
      <w:r>
        <w:rPr>
          <w:rFonts w:hint="eastAsia" w:ascii="彩虹粗仿宋" w:eastAsia="彩虹粗仿宋"/>
          <w:sz w:val="30"/>
        </w:rPr>
        <w:t>九、基金收益分配</w:t>
      </w:r>
      <w:bookmarkEnd w:id="103"/>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基金收益分配是指按规定将基金的可分配收益按基金份额进行比例分配。</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（一）基金收益分配的原则</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基金收益分配应遵循下列原则：</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1、在符合有关基金分红条件的前提下，基金管理人可以根据实际情况进行收益分配，具体分配方案以公告为准，若《基金合同》生效不满3个月可不进行收益分配；</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2、本基金收益分配方式分两种：现金分红与红利再投资，投资者可选择现金红利或将现金红利自动转为相应类别的基金份额进行再投资；若投资者不选择，本基金默认的收益分配方式是现金分红；</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3、基金收益分配后各类基金份额净值不能低于面值；即基金收益分配基准日的各类基金份额净值减去每单位该类基金份额收益分配金额后不能低于面值；</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4、由于本基金A类基金份额和C类基金份额费用收取不同，各基金份额类别对应的可供分配利润将有所不同。本基金同一类别的每一基金份额享有同等分配权；</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5、法律法规或监管机关另有规定的，从其规定。</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在符合法律法规规定及基金合同约定，并对基金份额持有人利益无实质性不利影响的前提下，基金管理人与基金托管人协商一致并按照监管部门要求履行适当程序后可对基金收益分配原则和支付方式进行调整，应按照《信息披露办法》的要求在规定媒介公告。</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（二）基金收益分配的时间和程序</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本基金收益分配方案由基金管理人拟订，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（三）实施侧袋机制期间的收益分配</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本基金实施侧袋机制的，侧袋账户不进行收益分配，详见招募说明书的规定。</w:t>
      </w:r>
    </w:p>
    <w:p>
      <w:pPr>
        <w:pStyle w:val="2"/>
        <w:jc w:val="center"/>
        <w:rPr>
          <w:rFonts w:ascii="彩虹粗仿宋" w:eastAsia="彩虹粗仿宋"/>
          <w:sz w:val="30"/>
        </w:rPr>
      </w:pPr>
      <w:bookmarkStart w:id="104" w:name="_Toc124325894"/>
      <w:r>
        <w:rPr>
          <w:rFonts w:hint="eastAsia" w:ascii="彩虹粗仿宋" w:eastAsia="彩虹粗仿宋"/>
          <w:sz w:val="30"/>
        </w:rPr>
        <w:t>十、基金信息披露</w:t>
      </w:r>
      <w:bookmarkEnd w:id="104"/>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（一）保密义务</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1.非因基金管理人和基金托管人的原因导致保密信息被披露、泄露或公开；</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2.基金管理人和基金托管人为遵守和服从法院判决或裁定、仲裁裁决或中国证监会等监管机构的命令、决定所做出的信息披露或公开；</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w:t>
      </w:r>
      <w:r>
        <w:rPr>
          <w:rFonts w:ascii="彩虹粗仿宋" w:hAnsi="宋体" w:eastAsia="彩虹粗仿宋" w:cs="Arial"/>
          <w:sz w:val="24"/>
        </w:rPr>
        <w:t>.</w:t>
      </w:r>
      <w:r>
        <w:rPr>
          <w:rFonts w:hint="eastAsia" w:ascii="彩虹粗仿宋" w:hAnsi="宋体" w:eastAsia="彩虹粗仿宋" w:cs="Arial"/>
          <w:sz w:val="24"/>
        </w:rPr>
        <w:t xml:space="preserve"> 因审计、法律等专业服务向外部专业顾问提供信息。</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（二）信息披露的内容</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含资产组合季度报告）、临时报告、澄清公告、基金份额持有人大会决议、清算报告、实施侧袋机制期间的信息披露、资产支持证券投资情况的信息披露、投资国债期货的信息披露、投资股指期货的信息披露、投资股票期权的信息披露、投资港股通标的股票的信息披露、投资信用衍生品的信息披露、投资基金份额的信息披露、参与融资业务的信息披露等中国证监会规定的其他信息。基金年度报告中的财务会计报告需经符合《证券法》规定的会计师事务所审计后，方可披露。</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（三）基金托管人和基金管理人在信息披露中的职责和信息披露程序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1.职责</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托管人和基金管理人在信息披露过程中应以保护基金份额持有人利益为宗旨，诚实信用，严守秘密。基金管理人负责办理与基金有关的信息披露事宜，基金托管人应当按照相关法律法规规定和《基金合同》的约定，对于上一款规定的应由基金托管人复核的事项进行复核，基金托管人复核无误后，由基金管理人予以公布。</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对于不需要基金托管人复核的信息，基金管理人在公告前应告知基金托管人。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基金管理人和基金托管人应积极配合、互相监督，保证其履行按照法定方式和时限披露的义务。</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基金托管人应当在中国证监会规定的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当出现下述情况时，基金管理人和基金托管人可暂停或延迟披露基金相关信息：</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(2)基金投资所涉及的证券、期货交易市场或外汇市场遇法定节假日或因其他原因暂停营业时；</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(3)发生基金合同约定的暂停估值的情形；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(4)法律法规、《基金合同》或中国证监会规定的情况。</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按相关法律、行政法规、中国证监会的规定和《基金合同》的约定须经基金托管人复核的信息披露文件，由基金管理人起草、编制，并经基金托管人复核后由基金管理人公告。发生《基金合同》中规定需要披露的事项时，按《基金合同》规定公布。</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3.信息文本的存放</w:t>
      </w:r>
    </w:p>
    <w:p>
      <w:pPr>
        <w:pStyle w:val="3"/>
        <w:snapToGrid w:val="0"/>
        <w:ind w:firstLine="480"/>
        <w:rPr>
          <w:rFonts w:hint="eastAsia" w:ascii="彩虹粗仿宋" w:hAnsi="宋体" w:eastAsia="彩虹粗仿宋" w:cs="Arial"/>
          <w:sz w:val="24"/>
        </w:rPr>
      </w:pPr>
      <w:r>
        <w:rPr>
          <w:rFonts w:hint="eastAsia" w:ascii="彩虹粗仿宋" w:hAnsi="宋体" w:eastAsia="彩虹粗仿宋" w:cs="Arial"/>
          <w:sz w:val="24"/>
        </w:rPr>
        <w:t>依法必须披露的信息发布后，基金管理人、基金托管人应当按照相关法律法规规定将信息置备于公司住所，供社会公众查阅、复制。</w:t>
      </w:r>
    </w:p>
    <w:p>
      <w:pPr>
        <w:adjustRightInd w:val="0"/>
        <w:snapToGrid w:val="0"/>
        <w:ind w:firstLine="480" w:firstLineChars="200"/>
        <w:rPr>
          <w:rFonts w:hint="eastAsia" w:ascii="彩虹粗仿宋" w:hAnsi="宋体" w:eastAsia="彩虹粗仿宋" w:cs="Arial"/>
          <w:iCs/>
          <w:sz w:val="24"/>
        </w:rPr>
      </w:pPr>
      <w:r>
        <w:rPr>
          <w:rFonts w:hint="eastAsia" w:ascii="彩虹粗仿宋" w:hAnsi="宋体" w:eastAsia="彩虹粗仿宋" w:cs="Arial"/>
          <w:iCs/>
          <w:sz w:val="24"/>
        </w:rPr>
        <w:t>（四）实施侧袋机制期间的信息披露</w:t>
      </w:r>
    </w:p>
    <w:p>
      <w:pPr>
        <w:pStyle w:val="3"/>
        <w:snapToGrid w:val="0"/>
        <w:ind w:firstLine="480"/>
        <w:rPr>
          <w:rFonts w:hint="eastAsia" w:ascii="彩虹粗仿宋" w:hAnsi="宋体" w:eastAsia="彩虹粗仿宋" w:cs="Arial"/>
          <w:iCs/>
          <w:sz w:val="24"/>
        </w:rPr>
      </w:pPr>
      <w:r>
        <w:rPr>
          <w:rFonts w:hint="eastAsia" w:ascii="彩虹粗仿宋" w:hAnsi="宋体" w:eastAsia="彩虹粗仿宋" w:cs="Arial"/>
          <w:iCs/>
          <w:sz w:val="24"/>
        </w:rPr>
        <w:t>本基金实施侧袋机制的，相关信息披露义务人应当根据法律法规、基金合同和招募说明书的规定进行信息披露，详见招募说明书的规定。</w:t>
      </w:r>
    </w:p>
    <w:p>
      <w:pPr>
        <w:pStyle w:val="3"/>
        <w:snapToGrid w:val="0"/>
        <w:ind w:firstLine="480"/>
        <w:rPr>
          <w:rFonts w:hint="eastAsia" w:ascii="彩虹粗仿宋" w:hAnsi="宋体" w:eastAsia="彩虹粗仿宋" w:cs="Arial"/>
          <w:sz w:val="24"/>
        </w:rPr>
      </w:pPr>
      <w:r>
        <w:rPr>
          <w:rFonts w:hint="eastAsia" w:ascii="彩虹粗仿宋" w:hAnsi="宋体" w:eastAsia="彩虹粗仿宋" w:cs="Arial"/>
          <w:iCs/>
          <w:sz w:val="24"/>
        </w:rPr>
        <w:t>（五）法律法规或监管部门对适用于本基金的信息披露另有规定的，从其规</w:t>
      </w:r>
      <w:r>
        <w:rPr>
          <w:rFonts w:hint="eastAsia" w:ascii="彩虹粗仿宋" w:hAnsi="宋体" w:eastAsia="彩虹粗仿宋" w:cs="Arial"/>
          <w:sz w:val="24"/>
        </w:rPr>
        <w:t>定。如规定发生变化的，从其最新规定。</w:t>
      </w:r>
    </w:p>
    <w:p>
      <w:pPr>
        <w:pStyle w:val="3"/>
        <w:snapToGrid w:val="0"/>
        <w:ind w:firstLine="480"/>
        <w:rPr>
          <w:rFonts w:hint="eastAsia" w:ascii="彩虹粗仿宋" w:hAnsi="宋体" w:eastAsia="彩虹粗仿宋" w:cs="Arial"/>
          <w:sz w:val="24"/>
        </w:rPr>
      </w:pPr>
    </w:p>
    <w:p>
      <w:pPr>
        <w:pStyle w:val="3"/>
        <w:snapToGrid w:val="0"/>
        <w:ind w:firstLine="0" w:firstLineChars="0"/>
        <w:rPr>
          <w:rFonts w:hint="eastAsia" w:ascii="彩虹粗仿宋" w:hAnsi="宋体" w:eastAsia="彩虹粗仿宋" w:cs="Arial"/>
          <w:sz w:val="24"/>
        </w:rPr>
      </w:pPr>
    </w:p>
    <w:p>
      <w:pPr>
        <w:pStyle w:val="2"/>
        <w:jc w:val="center"/>
        <w:rPr>
          <w:rFonts w:ascii="彩虹粗仿宋" w:eastAsia="彩虹粗仿宋"/>
          <w:sz w:val="30"/>
        </w:rPr>
      </w:pPr>
      <w:bookmarkStart w:id="105" w:name="_Toc124325895"/>
      <w:r>
        <w:rPr>
          <w:rFonts w:hint="eastAsia" w:ascii="彩虹粗仿宋" w:eastAsia="彩虹粗仿宋"/>
          <w:sz w:val="30"/>
        </w:rPr>
        <w:t>十一、基金费用</w:t>
      </w:r>
      <w:bookmarkEnd w:id="105"/>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（一）基金管理费的计提比例和计提方法</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本基金对基金财产中持有的本基金管理人自身管理的基金部分不收取管理费。本基金的管理费按前一日除基金管理人管理的基金外的基金资产净值的0.60%年费率计提。管理费的计算方法如下：</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H＝E×年管理费率÷当年天数</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H为每日应计提的基金管理费</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E为前一日的基金资产净值减去持有基金管理人管理基金的基金资产净值，如扣除后E＜0，则E取0</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（二）基金托管费的计提比例和计提方法</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本基金对基金财产中持有的本基金托管人自身托管的基金部分不收取托管费。本基金的托管费按前一日除基金托管人托管的基金外的基金资产净值的0.10%年费率计提。托管费的计算方法如下：</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H＝E×年托管费率÷当年天数</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H为每日应计提的基金托管费</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E为前一日的基金资产净值减去持有基金托管人托管基金的基金资产净值，如扣除后E＜0，则E取0</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（三）基金销售服务费的计提比例和计提方法</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本基金A类基金份额不收取销售服务费，C类基金份额收取销售服务费。</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C类基金份额的销售服务费按前一日C类基金份额基金资产净值的0.30%年费率计提，销售服务费的计算方法如下：</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H=E×年销售服务费率÷当年天数</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H为C类基金份额每日应计提的销售服务费</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E为C类基金份额前一日的基金资产净值</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四）基金管理人运用本基金财产申购自身管理的其他基金（ETF除外），应当通过直销渠道申购且不得收取申购费、赎回费（按照相关法规、基金招募说明书约定应当收取，并计入基金财产的赎回费用除外）、销售服务费等销售费用。</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五）基金的开户费用、账户维护费用、基金的证券、期货、股票期权交易费用、因投资港股通标的股票而产生的各项合理费用、基金的银行汇划费用、《基金合同》生效后与基金相关的信息披露费用（法律法规、中国证监会另有规定的除外）、基金份额持有人大会费用、《基金合同》生效后与基金有关的会计师费、律师费、诉讼费和仲裁费、基金投资其他基金份额产生的费用（包括但不限于申购费、赎回费以及销售服务费用等，但法律法规禁止从基金财产中列支的除外）等根据有关法律法规、《基金合同》及相应协议的规定，列入当期基金费用。</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（六）不列入基金费用的项目</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合同》生效前的相关费用；基金管理人和基金托管人因未履行或未完全履行义务导致的费用支出或基金财产的损失，基金管理人和基金托管人处理与基金运作无关的事项发生的费用以及其他根据相关法律法规及中国证监会的有关规定不得列入基金费用的项目等不列入基金费用。</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（七）基金管理费、基金托管费、销售服务费的调整</w:t>
      </w:r>
    </w:p>
    <w:p>
      <w:pPr>
        <w:adjustRightInd w:val="0"/>
        <w:snapToGrid w:val="0"/>
        <w:ind w:firstLine="480" w:firstLineChars="200"/>
        <w:outlineLvl w:val="0"/>
        <w:rPr>
          <w:rFonts w:hint="eastAsia" w:ascii="彩虹粗仿宋" w:hAnsi="宋体" w:eastAsia="彩虹粗仿宋" w:cs="Arial"/>
          <w:sz w:val="24"/>
          <w:highlight w:val="green"/>
        </w:rPr>
      </w:pPr>
      <w:r>
        <w:rPr>
          <w:rFonts w:hint="eastAsia" w:ascii="彩虹粗仿宋" w:hAnsi="宋体" w:eastAsia="彩虹粗仿宋" w:cs="Arial"/>
          <w:sz w:val="24"/>
        </w:rPr>
        <w:t>基金管理人和基金托管人在履行适当程序后可协商酌情降低基金管理费、基金托管费、销售服务费。基金管理人应按法律法规要求的时限在规定媒介上刊登公告。</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（八）基金管理费、基金托管费、销售服务费的复核程序、支付方式和时间</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1.复核程序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基金托管人对基金管理人计提的基金管理费、基金托管费、销售服务费等，根据本托管协议和《基金合同》的有关规定进行复核。</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2.支付方式和时间</w:t>
      </w:r>
    </w:p>
    <w:p>
      <w:pPr>
        <w:adjustRightInd w:val="0"/>
        <w:snapToGrid w:val="0"/>
        <w:ind w:firstLine="480" w:firstLineChars="200"/>
        <w:rPr>
          <w:rFonts w:hint="eastAsia" w:ascii="彩虹粗仿宋" w:hAnsi="宋体" w:eastAsia="彩虹粗仿宋" w:cs="Arial"/>
          <w:sz w:val="24"/>
        </w:rPr>
      </w:pPr>
      <w:bookmarkStart w:id="106" w:name="OLE_LINK35"/>
      <w:r>
        <w:rPr>
          <w:rFonts w:hint="eastAsia" w:ascii="彩虹粗仿宋" w:hAnsi="宋体" w:eastAsia="彩虹粗仿宋" w:cs="Arial"/>
          <w:sz w:val="24"/>
        </w:rPr>
        <w:t>基金管理费、基金托管费、销售服务费每日计提，逐日累计至每月月末，按月支付。由基金托管人根据与基金管理人核对一致的财务数据，自动在次月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bookmarkEnd w:id="106"/>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（九）违规处理方式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（十）实施侧袋机制期间的基金费用</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本基金实施侧袋机制的，与侧袋账户有关的费用可以从侧袋账户中列支，但应待侧袋账户资产变现后方可列支，有关费用可酌情收取或减免，但不得收取管理费，详见招募说明书的规定。</w:t>
      </w:r>
    </w:p>
    <w:p>
      <w:pPr>
        <w:adjustRightInd w:val="0"/>
        <w:snapToGrid w:val="0"/>
        <w:ind w:firstLine="480" w:firstLineChars="200"/>
        <w:rPr>
          <w:rFonts w:hint="eastAsia" w:ascii="彩虹粗仿宋" w:hAnsi="宋体" w:eastAsia="彩虹粗仿宋" w:cs="Arial"/>
          <w:sz w:val="24"/>
        </w:rPr>
      </w:pPr>
    </w:p>
    <w:p>
      <w:pPr>
        <w:pStyle w:val="2"/>
        <w:jc w:val="center"/>
        <w:rPr>
          <w:rFonts w:ascii="彩虹粗仿宋" w:eastAsia="彩虹粗仿宋"/>
          <w:sz w:val="30"/>
        </w:rPr>
      </w:pPr>
      <w:bookmarkStart w:id="107" w:name="_Toc124325896"/>
      <w:r>
        <w:rPr>
          <w:rFonts w:hint="eastAsia" w:ascii="彩虹粗仿宋" w:eastAsia="彩虹粗仿宋"/>
          <w:sz w:val="30"/>
        </w:rPr>
        <w:t>十二、基金份额持有人名册的保管</w:t>
      </w:r>
      <w:bookmarkEnd w:id="107"/>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律法规承担责任。</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在基金托管人要求或编制中期报告和年度报告前，基金管理人应将有关资料送交基金托管人，不得无故拒绝或延误提供，并保证其真实性、准确性和完整性。</w:t>
      </w:r>
      <w:r>
        <w:rPr>
          <w:rFonts w:hint="eastAsia" w:ascii="彩虹粗仿宋" w:hAnsi="宋体" w:eastAsia="彩虹粗仿宋"/>
          <w:kern w:val="0"/>
          <w:sz w:val="24"/>
        </w:rPr>
        <w:t>基金托管人不得将所保管的基金份额持有人名册用于基金托管业务以外的其他用途，并应遵守保密义务。</w:t>
      </w:r>
    </w:p>
    <w:p>
      <w:pPr>
        <w:adjustRightInd w:val="0"/>
        <w:snapToGrid w:val="0"/>
        <w:rPr>
          <w:rFonts w:hint="eastAsia" w:ascii="彩虹粗仿宋" w:hAnsi="宋体" w:eastAsia="彩虹粗仿宋" w:cs="Arial"/>
          <w:sz w:val="24"/>
        </w:rPr>
      </w:pPr>
    </w:p>
    <w:p>
      <w:pPr>
        <w:pStyle w:val="2"/>
        <w:jc w:val="center"/>
        <w:rPr>
          <w:rFonts w:ascii="彩虹粗仿宋" w:eastAsia="彩虹粗仿宋"/>
          <w:sz w:val="30"/>
        </w:rPr>
      </w:pPr>
      <w:bookmarkStart w:id="108" w:name="_Toc124325897"/>
      <w:r>
        <w:rPr>
          <w:rFonts w:hint="eastAsia" w:ascii="彩虹粗仿宋" w:eastAsia="彩虹粗仿宋"/>
          <w:sz w:val="30"/>
        </w:rPr>
        <w:t>十三、基金有关文件档案的保存</w:t>
      </w:r>
      <w:bookmarkEnd w:id="108"/>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（一）档案保存</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（二）合同档案的建立</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1.基金管理人签署重大合同文本后，应及时将合同文本正本送达基金托管人处。</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2.基金管理人应及时将与本基金账务处理、资金划拨等必要的合同、协议传真基金托管人。</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（三）变更与协助</w:t>
      </w:r>
    </w:p>
    <w:p>
      <w:pPr>
        <w:adjustRightInd w:val="0"/>
        <w:snapToGrid w:val="0"/>
        <w:ind w:firstLine="480" w:firstLineChars="200"/>
        <w:rPr>
          <w:rFonts w:ascii="彩虹粗仿宋" w:eastAsia="彩虹粗仿宋"/>
          <w:b/>
          <w:bCs/>
          <w:sz w:val="30"/>
          <w:szCs w:val="30"/>
        </w:rPr>
      </w:pPr>
      <w:r>
        <w:rPr>
          <w:rFonts w:hint="eastAsia" w:ascii="彩虹粗仿宋" w:hAnsi="宋体" w:eastAsia="彩虹粗仿宋" w:cs="Arial"/>
          <w:sz w:val="24"/>
        </w:rPr>
        <w:t>若基金管理人/基金托管人发生变更，未变更的一方有义务协助变更后的接任人接收相应文件。</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（四）基金管理人和基金托管人应按各自职责完整保存原始凭证、记账凭证、基金账册、交易记录和重要合同等，承担保密义务并保存</w:t>
      </w:r>
      <w:r>
        <w:rPr>
          <w:rFonts w:hint="eastAsia" w:ascii="彩虹粗仿宋" w:hAnsi="宋体" w:eastAsia="彩虹粗仿宋" w:cs="Arial"/>
          <w:color w:val="000000"/>
          <w:sz w:val="24"/>
        </w:rPr>
        <w:t>不低于法律法规规定的最低期限</w:t>
      </w:r>
      <w:r>
        <w:rPr>
          <w:rFonts w:hint="eastAsia" w:ascii="彩虹粗仿宋" w:hAnsi="宋体" w:eastAsia="彩虹粗仿宋" w:cs="Arial"/>
          <w:sz w:val="24"/>
        </w:rPr>
        <w:t>。</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109" w:name="_Toc124325898"/>
      <w:r>
        <w:rPr>
          <w:rFonts w:hint="eastAsia" w:ascii="彩虹粗仿宋" w:eastAsia="彩虹粗仿宋"/>
          <w:sz w:val="30"/>
        </w:rPr>
        <w:t>十四、基金管理人和基金托管人的更换</w:t>
      </w:r>
      <w:bookmarkEnd w:id="109"/>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（一）基金管理人职责终止的情形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1.基金管理人职责终止的情形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有下列情形之一的，基金管理人职责终止：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(1)被依法取消基金管理资格；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2.基金管理人的更换程序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更换基金管理人必须依照如下程序进行：</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(1)提名：新任基金管理人由基金托管人</w:t>
      </w:r>
      <w:r>
        <w:rPr>
          <w:rFonts w:hint="eastAsia" w:ascii="彩虹粗仿宋" w:eastAsia="彩虹粗仿宋"/>
          <w:sz w:val="24"/>
        </w:rPr>
        <w:t>或由单独或合计持有10%以上(含10%)基金份额的基金份额持有人</w:t>
      </w:r>
      <w:r>
        <w:rPr>
          <w:rFonts w:hint="eastAsia" w:ascii="彩虹粗仿宋" w:hAnsi="宋体" w:eastAsia="彩虹粗仿宋" w:cs="Arial"/>
          <w:sz w:val="24"/>
        </w:rPr>
        <w:t>提名；</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决议：基金份额持有人大会在基金管理人职责终止后6个月内对被提名的基金管理人形成决议，该决议需经参加大会的基金份额持有人所持表决权的三分之二以上(含三分之二)表决通过，新任基金管理人应当符合法律法规及中国证监会规定的资格条件，决议自表决通过之日起生效；</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(3)临时基金管理人：新任基金管理人产生之前，由中国证监会指定临时基金管理人；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(4)备案：基金份额持有人大会更换基金管理人的决议须报中国证监会备案；</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(5)公告：基金管理人更换后，由基金托管人在更换基金管理人的基金份额持有人大会决议生效后2日内在规定媒介公告；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w:t>
      </w:r>
      <w:bookmarkStart w:id="110" w:name="OLE_LINK39"/>
      <w:r>
        <w:rPr>
          <w:rFonts w:hint="eastAsia" w:ascii="彩虹粗仿宋" w:hAnsi="宋体" w:eastAsia="彩虹粗仿宋" w:cs="Arial"/>
          <w:sz w:val="24"/>
        </w:rPr>
        <w:t>资产总值和净值</w:t>
      </w:r>
      <w:bookmarkEnd w:id="110"/>
      <w:r>
        <w:rPr>
          <w:rFonts w:hint="eastAsia" w:ascii="彩虹粗仿宋" w:hAnsi="宋体" w:eastAsia="彩虹粗仿宋" w:cs="Arial"/>
          <w:sz w:val="24"/>
        </w:rPr>
        <w:t>；</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(8)基金名称变更：基金管理人更换后，如果原任或新任基金管理人要求，应按其要求替换或删除基金名称中与原基金管理人有关的名称字样。</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（二）基金托管人职责终止的情形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1.基金托管人职责终止的情形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有下列情形之一的，基金托管人职责终止：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(1)被依法取消基金托管资格；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2.基金托管人的更换程序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(1)提名：新任基金托管人由基金管理人</w:t>
      </w:r>
      <w:r>
        <w:rPr>
          <w:rFonts w:hint="eastAsia" w:ascii="彩虹粗仿宋" w:eastAsia="彩虹粗仿宋"/>
          <w:sz w:val="24"/>
        </w:rPr>
        <w:t>或由单独或合计持有10%以上(含10%)基金份额的基金份额持有人</w:t>
      </w:r>
      <w:r>
        <w:rPr>
          <w:rFonts w:hint="eastAsia" w:ascii="彩虹粗仿宋" w:hAnsi="宋体" w:eastAsia="彩虹粗仿宋" w:cs="Arial"/>
          <w:sz w:val="24"/>
        </w:rPr>
        <w:t>提名；</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决议：基金份额持有人大会在基金托管人职责终止后6个月内对被提名的基金托管人形成决议，该决议需经参加大会的基金份额持有人所持表决权的三分之二以上(含三分之二)表决通过，新任基金托管人应当符合法律法规及中国证监会规定的资格条件，决议自表决通过之日起生效；</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(3)临时基金托管人：新任基金托管人产生之前，由中国证监会指定临时基金托管人；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(4)备案：基金份额持有人大会更换基金托管人的决议须报中国证监会备案；</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(5)公告：基金托管人更换后，由基金管理人在更换基金托管人的基金份额持有人大会决议生效后 2日内在规定媒介公告；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(7)审计：基金托管人职责终止的，应当按照法律法规规定聘请符合《中华人民共和国证券法》规定的会计师事务所对基金财产进行审计，并将审计结果予以公告，同时报中国证监会备案，审计费用在基金财产中列支。</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（三）基金管理人与基金托管人同时更换的条件和程序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1.提名：如果基金管理人和基金托管人同时更换，由单独或合计持有基金总份额10%以上(含10%)的基金份额持有人提名新的基金管理人和基金托管人；</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2.基金管理人和基金托管人的更换分别按上述程序进行；</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3.公告：新任基金管理人和新任基金托管人应在更换基金管理人和基金托管人的基金份额持有人大会决议生效后2日内在规定媒介上联合公告。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四）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和本协议的规定收取基金管理费或基金托管费。</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adjustRightInd w:val="0"/>
        <w:snapToGrid w:val="0"/>
        <w:rPr>
          <w:rFonts w:hint="eastAsia" w:ascii="彩虹粗仿宋" w:hAnsi="宋体" w:eastAsia="彩虹粗仿宋" w:cs="Arial"/>
          <w:sz w:val="24"/>
        </w:rPr>
      </w:pPr>
    </w:p>
    <w:p>
      <w:pPr>
        <w:pStyle w:val="2"/>
        <w:jc w:val="center"/>
        <w:rPr>
          <w:rFonts w:ascii="彩虹粗仿宋" w:eastAsia="彩虹粗仿宋"/>
          <w:sz w:val="30"/>
        </w:rPr>
      </w:pPr>
      <w:bookmarkStart w:id="111" w:name="_Toc124325899"/>
      <w:r>
        <w:rPr>
          <w:rFonts w:hint="eastAsia" w:ascii="彩虹粗仿宋" w:eastAsia="彩虹粗仿宋"/>
          <w:sz w:val="30"/>
        </w:rPr>
        <w:t>十五、禁止行为</w:t>
      </w:r>
      <w:bookmarkEnd w:id="111"/>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本协议当事人禁止从事的行为，包括但不限于：</w:t>
      </w:r>
    </w:p>
    <w:p>
      <w:pPr>
        <w:snapToGrid w:val="0"/>
        <w:ind w:firstLine="480" w:firstLineChars="200"/>
        <w:rPr>
          <w:rFonts w:ascii="彩虹粗仿宋" w:eastAsia="彩虹粗仿宋"/>
          <w:sz w:val="24"/>
        </w:rPr>
      </w:pPr>
      <w:r>
        <w:rPr>
          <w:rFonts w:hint="eastAsia" w:ascii="彩虹粗仿宋" w:eastAsia="彩虹粗仿宋"/>
          <w:sz w:val="24"/>
        </w:rPr>
        <w:t>（一）基金管理人、基金托管人将其固有财产或者他人财产混同于基金财产从事证券投资。</w:t>
      </w:r>
    </w:p>
    <w:p>
      <w:pPr>
        <w:snapToGrid w:val="0"/>
        <w:ind w:firstLine="480" w:firstLineChars="200"/>
        <w:rPr>
          <w:rFonts w:ascii="彩虹粗仿宋" w:eastAsia="彩虹粗仿宋"/>
        </w:rPr>
      </w:pPr>
      <w:r>
        <w:rPr>
          <w:rFonts w:hint="eastAsia" w:ascii="彩虹粗仿宋" w:eastAsia="彩虹粗仿宋"/>
          <w:sz w:val="24"/>
        </w:rPr>
        <w:t>（二）基金管理人不公平地对待其管理的不同基金财产，基金托管人不公平地对待其托管的不同基金财产。</w:t>
      </w:r>
    </w:p>
    <w:p>
      <w:pPr>
        <w:snapToGrid w:val="0"/>
        <w:ind w:firstLine="480" w:firstLineChars="200"/>
        <w:rPr>
          <w:rFonts w:ascii="彩虹粗仿宋" w:eastAsia="彩虹粗仿宋"/>
          <w:sz w:val="24"/>
        </w:rPr>
      </w:pPr>
      <w:r>
        <w:rPr>
          <w:rFonts w:hint="eastAsia" w:ascii="彩虹粗仿宋" w:eastAsia="彩虹粗仿宋"/>
          <w:sz w:val="24"/>
        </w:rPr>
        <w:t>（三）基金管理人、基金托管人利用基金财产或职务之便为基金份额持有人以外的第三人牟取利益。</w:t>
      </w:r>
    </w:p>
    <w:p>
      <w:pPr>
        <w:snapToGrid w:val="0"/>
        <w:ind w:firstLine="480" w:firstLineChars="200"/>
        <w:rPr>
          <w:rFonts w:ascii="彩虹粗仿宋" w:eastAsia="彩虹粗仿宋"/>
          <w:sz w:val="24"/>
        </w:rPr>
      </w:pPr>
      <w:r>
        <w:rPr>
          <w:rFonts w:hint="eastAsia" w:ascii="彩虹粗仿宋" w:eastAsia="彩虹粗仿宋"/>
          <w:sz w:val="24"/>
        </w:rPr>
        <w:t>（四）基金管理人、基金托管人向基金份额持有人违规承诺收益或者承担损失。</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（五）基金管理人、基金托管人对他人泄露基金运作和管理过程中任何尚未按法律法规规定的方式公开披露的信息。</w:t>
      </w:r>
    </w:p>
    <w:p>
      <w:pPr>
        <w:pStyle w:val="7"/>
        <w:spacing w:line="240" w:lineRule="auto"/>
        <w:outlineLvl w:val="0"/>
        <w:rPr>
          <w:rFonts w:hint="eastAsia" w:ascii="彩虹粗仿宋" w:hAnsi="宋体" w:eastAsia="彩虹粗仿宋" w:cs="Arial"/>
          <w:szCs w:val="24"/>
        </w:rPr>
      </w:pPr>
      <w:r>
        <w:rPr>
          <w:rFonts w:hint="eastAsia" w:ascii="彩虹粗仿宋" w:hAnsi="宋体" w:eastAsia="彩虹粗仿宋" w:cs="Arial"/>
          <w:szCs w:val="24"/>
        </w:rPr>
        <w:t>（六）基金管理人在没有充足资金的情况下向基金托管人发出投资指令和赎回、分红资金的划拨指令，或违规向基金托管人发出指令。</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（七）基金管理人、基金托管人在行政上、财务上不独立, 其高级管理人员和其他从业人员相互兼职。</w:t>
      </w:r>
    </w:p>
    <w:p>
      <w:pPr>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（八）基金托管人私自动用或处分基金财产，根据基金管理人的合法有效指令、《基金合同》或托管协议的规定进行处分的除外。</w:t>
      </w:r>
    </w:p>
    <w:p>
      <w:pPr>
        <w:snapToGrid w:val="0"/>
        <w:ind w:firstLine="480" w:firstLineChars="200"/>
        <w:rPr>
          <w:rFonts w:hint="eastAsia" w:ascii="彩虹粗仿宋" w:hAnsi="宋体" w:eastAsia="彩虹粗仿宋" w:cs="Arial"/>
          <w:sz w:val="24"/>
        </w:rPr>
      </w:pPr>
      <w:r>
        <w:rPr>
          <w:rFonts w:hint="eastAsia" w:ascii="彩虹粗仿宋" w:eastAsia="彩虹粗仿宋"/>
          <w:sz w:val="24"/>
        </w:rPr>
        <w:t>（九）</w:t>
      </w:r>
      <w:r>
        <w:rPr>
          <w:rFonts w:hint="eastAsia" w:ascii="彩虹粗仿宋" w:hAnsi="宋体" w:eastAsia="彩虹粗仿宋" w:cs="Arial"/>
          <w:sz w:val="24"/>
        </w:rPr>
        <w:t>基金财产</w:t>
      </w:r>
      <w:r>
        <w:rPr>
          <w:rFonts w:hint="eastAsia" w:ascii="彩虹粗仿宋" w:eastAsia="彩虹粗仿宋"/>
          <w:sz w:val="24"/>
        </w:rPr>
        <w:t>用于下列投资或者活动：1.承销证券；2.违反规定向他人贷款或者提供担保；3.从事承担无限责任的投资；4.向其基金管理人、基金托管人出资；5.从事内幕交易、操纵证券交易价格及其他不正当的证券交易活动；6.持有具有复杂、衍生品性质的基金份额，包括分级基金和中国证监会认定的其他基金份额；7.法律、行政法规和国务院证券监督管理机构规定禁止的其他活动。法律、行政法规或监管部门取消或变更上述限制，如适用于本基金，基金管理人在履行适当程序后，则本基金投资不再受相关限制或以变更后的规定为准。</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（十）法律法规和《基金合同》禁止的其他行为，以及</w:t>
      </w:r>
      <w:r>
        <w:rPr>
          <w:rFonts w:hint="eastAsia" w:ascii="彩虹粗仿宋" w:eastAsia="彩虹粗仿宋"/>
          <w:sz w:val="24"/>
        </w:rPr>
        <w:t>依照法律、行政法规有关规定，由国务院证券监督管理机构规定禁止基金管理人、基金托管人从事的其他行为。</w:t>
      </w:r>
    </w:p>
    <w:p>
      <w:pPr>
        <w:adjustRightInd w:val="0"/>
        <w:snapToGrid w:val="0"/>
        <w:rPr>
          <w:rFonts w:ascii="彩虹粗仿宋" w:eastAsia="彩虹粗仿宋"/>
          <w:sz w:val="30"/>
          <w:szCs w:val="30"/>
        </w:rPr>
      </w:pPr>
    </w:p>
    <w:p>
      <w:pPr>
        <w:pStyle w:val="2"/>
        <w:jc w:val="center"/>
        <w:rPr>
          <w:rFonts w:ascii="彩虹粗仿宋" w:eastAsia="彩虹粗仿宋"/>
          <w:sz w:val="30"/>
        </w:rPr>
      </w:pPr>
      <w:bookmarkStart w:id="112" w:name="_Toc124325900"/>
      <w:r>
        <w:rPr>
          <w:rFonts w:hint="eastAsia" w:ascii="彩虹粗仿宋" w:eastAsia="彩虹粗仿宋"/>
          <w:sz w:val="30"/>
        </w:rPr>
        <w:t>十六、托管协议的变更、终止与基金财产的清算</w:t>
      </w:r>
      <w:bookmarkEnd w:id="112"/>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（一）托管协议的变更程序</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本协议双方当事人经协商一致并履行适当程序后，可以对协议进行修改。修改后的新协议，其内容不得与《基金合同》的规定有任何冲突。</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（二）托管协议终止的情形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1.《基金合同》终止；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2.基金托管人解散、依法被撤销、破产或由其他基金托管人接管基金资产；</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3.基金管理人解散、依法被撤销、破产或由其他基金管理人接管基金管理权；</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4.发生法律法规或《基金合同》规定的终止事项。</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（三）基金财产的清算</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1.基金财产清算小组：自出现《基金合同》终止事由之日起30个工作日内成立基金财产清算小组，基金管理人组织基金财产清算小组并在中国证监会的监督下进行基金清算。</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2.基金财产清算小组组成：基金财产清算小组成员由基金管理人、基金托管人、符合《证券法》规定的注册会计师、律师以及中国证监会指定的人员组成。基金财产清算小组可以聘用必要的工作人员。</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3.基金财产清算小组职责：基金财产清算小组负责基金财产的保管、清理、估价、变现和分配。基金财产清算小组可以依法进行必要的民事活动。</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4.基金财产清算程序：</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(1)《基金合同》终止情形出现时，由基金财产清算小组统一接管基金财产；</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(2)对基金财产和债权债务进行清理和确认；</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(3)对基金财产进行估值和变现；</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(4)制作清算报告；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(5)聘请会计师事务所对清算报告进行外部审计，聘请律师事务所对清算报告出具法律意见书；</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(6)将清算报告报中国证监会备案并公告；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(7)对基金剩余财产进行分配。</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5.基金财产清算的期限为6个月，但因本基金所持证券的流动性受到限制而不能及时变现的，清算期限相应顺延。</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6.清算费用</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清算费用是指基金财产清算小组在进行基金清算过程中发生的所有合理费用，清算费用由基金财产清算小组优先从基金财产中支付。</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7.基金财产清算剩余资产的分配：</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8.基金财产清算的公告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9.基金财产清算账册及文件的保存</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基金财产清算账册及有关文件由基金托管人保存，保存</w:t>
      </w:r>
      <w:r>
        <w:rPr>
          <w:rFonts w:hint="eastAsia" w:ascii="彩虹粗仿宋" w:hAnsi="宋体" w:eastAsia="彩虹粗仿宋" w:cs="Arial"/>
          <w:bCs/>
          <w:sz w:val="24"/>
        </w:rPr>
        <w:t>期限</w:t>
      </w:r>
      <w:r>
        <w:rPr>
          <w:rFonts w:hint="eastAsia" w:ascii="彩虹粗仿宋" w:hAnsi="宋体" w:eastAsia="彩虹粗仿宋" w:cs="Arial"/>
          <w:sz w:val="24"/>
        </w:rPr>
        <w:t>不低于法律法规规定的最低期限。</w:t>
      </w:r>
    </w:p>
    <w:p>
      <w:pPr>
        <w:adjustRightInd w:val="0"/>
        <w:snapToGrid w:val="0"/>
        <w:rPr>
          <w:rFonts w:hint="eastAsia" w:ascii="彩虹粗仿宋" w:hAnsi="宋体" w:eastAsia="彩虹粗仿宋" w:cs="Arial"/>
          <w:sz w:val="24"/>
        </w:rPr>
      </w:pPr>
    </w:p>
    <w:p>
      <w:pPr>
        <w:pStyle w:val="2"/>
        <w:jc w:val="center"/>
        <w:rPr>
          <w:rFonts w:ascii="彩虹粗仿宋" w:eastAsia="彩虹粗仿宋"/>
          <w:sz w:val="30"/>
        </w:rPr>
      </w:pPr>
      <w:bookmarkStart w:id="113" w:name="_Toc124325901"/>
      <w:r>
        <w:rPr>
          <w:rFonts w:hint="eastAsia" w:ascii="彩虹粗仿宋" w:eastAsia="彩虹粗仿宋"/>
          <w:sz w:val="30"/>
        </w:rPr>
        <w:t>十七、违约责任</w:t>
      </w:r>
      <w:bookmarkEnd w:id="113"/>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（一）基金管理人、基金托管人不履行本协议或履行本协议不符合约定的，应当承担违约责任。</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2.基金管理人、基金托管人按照当时有效的法律法规或中国证监会的规定作为或不作为而造成的损失等；</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3.基金管理人由于按照《基金合同》规定的投资原则而行使或不行使其投资权而造成的损失等；</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（五）违约行为虽已发生，但本托管协议能够继续履行的，在最大限度地保护基金份额持有人利益的前提下，基金管理人和基金托管人应当继续履行本协议。</w:t>
      </w:r>
    </w:p>
    <w:p>
      <w:pPr>
        <w:adjustRightInd w:val="0"/>
        <w:snapToGrid w:val="0"/>
        <w:ind w:firstLine="480" w:firstLineChars="200"/>
        <w:outlineLvl w:val="0"/>
        <w:rPr>
          <w:rFonts w:hint="eastAsia" w:ascii="彩虹粗仿宋" w:hAnsi="宋体" w:eastAsia="彩虹粗仿宋" w:cs="Arial"/>
          <w:sz w:val="24"/>
        </w:rPr>
      </w:pPr>
      <w:r>
        <w:rPr>
          <w:rFonts w:hint="eastAsia" w:ascii="彩虹粗仿宋" w:hAnsi="宋体" w:eastAsia="彩虹粗仿宋" w:cs="Arial"/>
          <w:sz w:val="24"/>
        </w:rPr>
        <w:t>（六）由于基金管理人、基金托管人不可控制的因素导致业务出现差错，基金管理人和基金托管人虽然已经采取必要、适当、合理的措施进行检查，但是未能发现错误或虽发现错误但因前述原因无法及时更正的，由此造成基金财产或投资人损失，基金管理人和基金托管人免除赔偿责任。但是基金管理人和基金托管人应积极采取必要的措施减轻或消除由此造成的影响。</w:t>
      </w:r>
    </w:p>
    <w:p>
      <w:pPr>
        <w:adjustRightInd w:val="0"/>
        <w:snapToGrid w:val="0"/>
        <w:outlineLvl w:val="0"/>
        <w:rPr>
          <w:rFonts w:hint="eastAsia" w:ascii="彩虹粗仿宋" w:hAnsi="宋体" w:eastAsia="彩虹粗仿宋" w:cs="Arial"/>
          <w:sz w:val="24"/>
        </w:rPr>
      </w:pPr>
    </w:p>
    <w:p>
      <w:pPr>
        <w:pStyle w:val="2"/>
        <w:jc w:val="center"/>
        <w:rPr>
          <w:rFonts w:ascii="彩虹粗仿宋" w:eastAsia="彩虹粗仿宋"/>
          <w:sz w:val="30"/>
        </w:rPr>
      </w:pPr>
      <w:bookmarkStart w:id="114" w:name="_Toc124325902"/>
      <w:r>
        <w:rPr>
          <w:rFonts w:hint="eastAsia" w:ascii="彩虹粗仿宋" w:eastAsia="彩虹粗仿宋"/>
          <w:sz w:val="30"/>
        </w:rPr>
        <w:t>十八、争议解决方式</w:t>
      </w:r>
      <w:bookmarkEnd w:id="114"/>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因本协议产生或与之相关的争议，双方当事人应通过协商、调解解决，协商、调解不能解决的，</w:t>
      </w:r>
      <w:r>
        <w:rPr>
          <w:rFonts w:ascii="彩虹粗仿宋" w:hAnsi="宋体" w:eastAsia="彩虹粗仿宋" w:cs="Arial"/>
          <w:sz w:val="24"/>
        </w:rPr>
        <w:t>任何一方</w:t>
      </w:r>
      <w:r>
        <w:rPr>
          <w:rFonts w:hint="eastAsia" w:ascii="彩虹粗仿宋" w:hAnsi="宋体" w:eastAsia="彩虹粗仿宋" w:cs="Arial"/>
          <w:sz w:val="24"/>
        </w:rPr>
        <w:t>应当将争议提交</w:t>
      </w:r>
      <w:r>
        <w:rPr>
          <w:rFonts w:ascii="彩虹粗仿宋" w:hAnsi="宋体" w:eastAsia="彩虹粗仿宋" w:cs="Arial"/>
          <w:sz w:val="24"/>
        </w:rPr>
        <w:t>中国</w:t>
      </w:r>
      <w:r>
        <w:rPr>
          <w:rFonts w:hint="eastAsia" w:ascii="彩虹粗仿宋" w:hAnsi="宋体" w:eastAsia="彩虹粗仿宋" w:cs="Arial"/>
          <w:sz w:val="24"/>
        </w:rPr>
        <w:t>国际经济贸易仲裁委员会，仲裁地点为</w:t>
      </w:r>
      <w:r>
        <w:rPr>
          <w:rFonts w:ascii="彩虹粗仿宋" w:hAnsi="宋体" w:eastAsia="彩虹粗仿宋" w:cs="Arial"/>
          <w:sz w:val="24"/>
        </w:rPr>
        <w:t>北京</w:t>
      </w:r>
      <w:r>
        <w:rPr>
          <w:rFonts w:hint="eastAsia" w:ascii="彩虹粗仿宋" w:hAnsi="宋体" w:eastAsia="彩虹粗仿宋" w:cs="Arial"/>
          <w:sz w:val="24"/>
        </w:rPr>
        <w:t>市，按照</w:t>
      </w:r>
      <w:bookmarkStart w:id="115" w:name="OLE_LINK4"/>
      <w:r>
        <w:rPr>
          <w:rFonts w:ascii="彩虹粗仿宋" w:hAnsi="宋体" w:eastAsia="彩虹粗仿宋" w:cs="Arial"/>
          <w:sz w:val="24"/>
        </w:rPr>
        <w:t>中国</w:t>
      </w:r>
      <w:r>
        <w:rPr>
          <w:rFonts w:hint="eastAsia" w:ascii="彩虹粗仿宋" w:hAnsi="宋体" w:eastAsia="彩虹粗仿宋" w:cs="Arial"/>
          <w:sz w:val="24"/>
        </w:rPr>
        <w:t>国际经济贸易仲裁委员会</w:t>
      </w:r>
      <w:bookmarkEnd w:id="115"/>
      <w:r>
        <w:rPr>
          <w:rFonts w:hint="eastAsia" w:ascii="彩虹粗仿宋" w:hAnsi="宋体" w:eastAsia="彩虹粗仿宋" w:cs="Arial"/>
          <w:sz w:val="24"/>
        </w:rPr>
        <w:t>届时有效的仲裁规则进行仲裁。仲裁裁决是终局的，对当事人均有约束力，仲裁费用由败诉方承担。</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争议处理期间，双方当事人应恪守基金管理人和基金托管人职责，各自继续忠实、勤勉、尽责地履行《基金合同》和本托管协议规定的义务，维护基金份额持有人的合法权益。</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本协议受中国法律管辖。</w:t>
      </w:r>
    </w:p>
    <w:p>
      <w:pPr>
        <w:adjustRightInd w:val="0"/>
        <w:snapToGrid w:val="0"/>
        <w:rPr>
          <w:rFonts w:hint="eastAsia" w:ascii="彩虹粗仿宋" w:hAnsi="宋体" w:eastAsia="彩虹粗仿宋" w:cs="Arial"/>
          <w:sz w:val="24"/>
        </w:rPr>
      </w:pPr>
    </w:p>
    <w:p>
      <w:pPr>
        <w:pStyle w:val="2"/>
        <w:jc w:val="center"/>
        <w:rPr>
          <w:rFonts w:ascii="彩虹粗仿宋" w:eastAsia="彩虹粗仿宋"/>
          <w:sz w:val="30"/>
        </w:rPr>
      </w:pPr>
      <w:bookmarkStart w:id="116" w:name="_Toc124325903"/>
      <w:r>
        <w:rPr>
          <w:rFonts w:hint="eastAsia" w:ascii="彩虹粗仿宋" w:eastAsia="彩虹粗仿宋"/>
          <w:sz w:val="30"/>
        </w:rPr>
        <w:t>十九、托管协议的效力</w:t>
      </w:r>
      <w:bookmarkEnd w:id="116"/>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双方对托管协议的效力约定如下：</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一）基金管理人在向中国证监会申请基金募集注册时提交的托管协议草案，应经托管协议当事人双方加盖公章或合同专业章以及双方法定代表人或授权代表签字（或盖章），协议当事人双方根据中国证监会的意见修改托管协议草案。托管协议以中国证监会注册的文本为正式文本。</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（二）托管协议自《基金合同》成立之日起成立，自《基金合同》生效之日起生效。托管协议的有效期自其生效之日起至基金财产清算结果报中国证监会备案并公告之日止。</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（三）托管协议自生效之日起对托管协议当事人具有同等的法律约束力。</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（四）本协议一式三份，协议双方各持一份，上报监管机构一份，每份具有同等的法律效力。</w:t>
      </w:r>
    </w:p>
    <w:p>
      <w:pPr>
        <w:adjustRightInd w:val="0"/>
        <w:snapToGrid w:val="0"/>
        <w:rPr>
          <w:rFonts w:hint="eastAsia" w:ascii="彩虹粗仿宋" w:hAnsi="宋体" w:eastAsia="彩虹粗仿宋" w:cs="Arial"/>
          <w:sz w:val="24"/>
        </w:rPr>
      </w:pPr>
    </w:p>
    <w:p>
      <w:pPr>
        <w:pStyle w:val="2"/>
        <w:jc w:val="center"/>
        <w:rPr>
          <w:rFonts w:ascii="彩虹粗仿宋" w:eastAsia="彩虹粗仿宋"/>
          <w:sz w:val="30"/>
        </w:rPr>
      </w:pPr>
      <w:bookmarkStart w:id="117" w:name="_Toc124325904"/>
      <w:r>
        <w:rPr>
          <w:rFonts w:hint="eastAsia" w:ascii="彩虹粗仿宋" w:eastAsia="彩虹粗仿宋"/>
          <w:sz w:val="30"/>
        </w:rPr>
        <w:t>二十、其他事项</w:t>
      </w:r>
      <w:bookmarkEnd w:id="117"/>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如发生有权司法机关依法冻结基金份额持有人的基金份额时，基金管理人、基金托管人应予以配合，承担司法协助义务。</w:t>
      </w:r>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除本协议有明确定义外，本协议的用语定义适用《基金合同》的约定。本协议未尽事宜，当事人依据《基金合同》、有关法律法规等规定协商办理。</w:t>
      </w:r>
    </w:p>
    <w:p>
      <w:pPr>
        <w:adjustRightInd w:val="0"/>
        <w:snapToGrid w:val="0"/>
        <w:rPr>
          <w:rFonts w:ascii="彩虹粗仿宋" w:eastAsia="彩虹粗仿宋"/>
          <w:b/>
          <w:bCs/>
        </w:rPr>
      </w:pPr>
    </w:p>
    <w:p>
      <w:pPr>
        <w:pStyle w:val="2"/>
        <w:jc w:val="center"/>
        <w:rPr>
          <w:rFonts w:ascii="彩虹粗仿宋" w:eastAsia="彩虹粗仿宋"/>
          <w:sz w:val="30"/>
        </w:rPr>
      </w:pPr>
      <w:bookmarkStart w:id="118" w:name="_Toc124325905"/>
      <w:r>
        <w:rPr>
          <w:rFonts w:hint="eastAsia" w:ascii="彩虹粗仿宋" w:eastAsia="彩虹粗仿宋"/>
          <w:sz w:val="30"/>
        </w:rPr>
        <w:t>二十一、托管协议的签订</w:t>
      </w:r>
      <w:bookmarkEnd w:id="118"/>
    </w:p>
    <w:p>
      <w:pPr>
        <w:adjustRightInd w:val="0"/>
        <w:snapToGrid w:val="0"/>
        <w:ind w:firstLine="480" w:firstLineChars="200"/>
        <w:rPr>
          <w:rFonts w:hint="eastAsia" w:ascii="彩虹粗仿宋" w:hAnsi="宋体" w:eastAsia="彩虹粗仿宋" w:cs="Arial"/>
          <w:sz w:val="24"/>
        </w:rPr>
      </w:pPr>
      <w:r>
        <w:rPr>
          <w:rFonts w:hint="eastAsia" w:ascii="彩虹粗仿宋" w:hAnsi="宋体" w:eastAsia="彩虹粗仿宋" w:cs="Arial"/>
          <w:sz w:val="24"/>
        </w:rPr>
        <w:t>本协议双方法定代表人或授权代表签字或盖章并加盖双方公章或合同专用章，并列明签订地、签订日。</w:t>
      </w:r>
    </w:p>
    <w:p>
      <w:pPr>
        <w:adjustRightInd w:val="0"/>
        <w:snapToGrid w:val="0"/>
        <w:ind w:firstLine="480" w:firstLineChars="200"/>
        <w:rPr>
          <w:rFonts w:hint="eastAsia" w:ascii="彩虹粗仿宋" w:hAnsi="宋体" w:eastAsia="彩虹粗仿宋" w:cs="Arial"/>
          <w:sz w:val="24"/>
        </w:rPr>
        <w:sectPr>
          <w:headerReference r:id="rId5" w:type="default"/>
          <w:pgSz w:w="11906" w:h="16838"/>
          <w:pgMar w:top="1418" w:right="1701" w:bottom="1418" w:left="1701" w:header="851" w:footer="992" w:gutter="0"/>
          <w:cols w:space="720" w:num="1"/>
          <w:docGrid w:type="lines" w:linePitch="312" w:charSpace="0"/>
        </w:sectPr>
      </w:pPr>
    </w:p>
    <w:p>
      <w:pPr>
        <w:spacing w:line="360" w:lineRule="auto"/>
        <w:ind w:right="26"/>
        <w:rPr>
          <w:rFonts w:ascii="彩虹粗仿宋" w:eastAsia="彩虹粗仿宋"/>
          <w:sz w:val="24"/>
        </w:rPr>
      </w:pPr>
      <w:r>
        <w:rPr>
          <w:rFonts w:hint="eastAsia" w:ascii="彩虹粗仿宋" w:eastAsia="彩虹粗仿宋"/>
          <w:sz w:val="24"/>
        </w:rPr>
        <w:t>本页无正文，为《上银丰泽混合型发起式证券投资基金托管协议》的签字盖章页。</w:t>
      </w:r>
    </w:p>
    <w:p>
      <w:pPr>
        <w:spacing w:line="360" w:lineRule="auto"/>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基金管理人：上银基金管理有限公司（盖章）</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 xml:space="preserve">法定代表人或授权代表：                   </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基金托管人：中国建设银行股份有限公司（盖章）</w:t>
      </w:r>
    </w:p>
    <w:p>
      <w:pPr>
        <w:spacing w:line="360" w:lineRule="auto"/>
        <w:ind w:right="26"/>
        <w:rPr>
          <w:rFonts w:ascii="彩虹粗仿宋" w:eastAsia="彩虹粗仿宋"/>
          <w:sz w:val="24"/>
        </w:rPr>
      </w:pPr>
    </w:p>
    <w:p>
      <w:pPr>
        <w:spacing w:line="360" w:lineRule="auto"/>
        <w:ind w:right="26"/>
        <w:rPr>
          <w:rFonts w:ascii="彩虹粗仿宋" w:eastAsia="彩虹粗仿宋"/>
          <w:sz w:val="24"/>
        </w:rPr>
      </w:pPr>
    </w:p>
    <w:p>
      <w:pPr>
        <w:spacing w:line="360" w:lineRule="auto"/>
        <w:ind w:right="26"/>
        <w:rPr>
          <w:rFonts w:ascii="彩虹粗仿宋" w:eastAsia="彩虹粗仿宋"/>
          <w:sz w:val="24"/>
        </w:rPr>
      </w:pPr>
      <w:r>
        <w:rPr>
          <w:rFonts w:hint="eastAsia" w:ascii="彩虹粗仿宋" w:eastAsia="彩虹粗仿宋"/>
          <w:sz w:val="24"/>
        </w:rPr>
        <w:t xml:space="preserve">法定代表人或授权代表：                   </w:t>
      </w:r>
    </w:p>
    <w:p>
      <w:pPr>
        <w:spacing w:line="360" w:lineRule="auto"/>
        <w:ind w:right="26"/>
        <w:rPr>
          <w:rFonts w:ascii="彩虹粗仿宋" w:eastAsia="彩虹粗仿宋"/>
          <w:b/>
          <w:sz w:val="24"/>
          <w:szCs w:val="28"/>
        </w:rPr>
      </w:pPr>
    </w:p>
    <w:p>
      <w:pPr>
        <w:spacing w:line="360" w:lineRule="auto"/>
        <w:ind w:right="26"/>
        <w:rPr>
          <w:rFonts w:ascii="彩虹粗仿宋" w:eastAsia="彩虹粗仿宋"/>
          <w:b/>
          <w:sz w:val="24"/>
          <w:szCs w:val="28"/>
        </w:rPr>
      </w:pPr>
    </w:p>
    <w:p>
      <w:pPr>
        <w:spacing w:line="360" w:lineRule="auto"/>
        <w:ind w:right="26"/>
        <w:rPr>
          <w:rFonts w:ascii="彩虹粗仿宋" w:eastAsia="彩虹粗仿宋"/>
          <w:b/>
          <w:sz w:val="24"/>
          <w:szCs w:val="28"/>
        </w:rPr>
      </w:pPr>
    </w:p>
    <w:p>
      <w:pPr>
        <w:spacing w:line="360" w:lineRule="auto"/>
        <w:ind w:right="26"/>
        <w:rPr>
          <w:rFonts w:ascii="彩虹粗仿宋" w:eastAsia="彩虹粗仿宋"/>
          <w:b/>
          <w:sz w:val="24"/>
          <w:szCs w:val="28"/>
        </w:rPr>
      </w:pPr>
      <w:r>
        <w:rPr>
          <w:rFonts w:hint="eastAsia" w:ascii="彩虹粗仿宋" w:eastAsia="彩虹粗仿宋"/>
          <w:b/>
          <w:sz w:val="24"/>
          <w:szCs w:val="28"/>
        </w:rPr>
        <w:t>签订地点：北京</w:t>
      </w:r>
    </w:p>
    <w:p>
      <w:pPr>
        <w:spacing w:line="360" w:lineRule="auto"/>
        <w:ind w:right="26"/>
        <w:rPr>
          <w:rFonts w:ascii="彩虹粗仿宋" w:eastAsia="彩虹粗仿宋"/>
          <w:b/>
          <w:sz w:val="24"/>
          <w:szCs w:val="28"/>
        </w:rPr>
      </w:pPr>
      <w:r>
        <w:rPr>
          <w:rFonts w:hint="eastAsia" w:ascii="彩虹粗仿宋" w:eastAsia="彩虹粗仿宋"/>
          <w:b/>
          <w:sz w:val="24"/>
          <w:szCs w:val="28"/>
        </w:rPr>
        <w:t>签 订 日：        年    月</w:t>
      </w:r>
      <w:r>
        <w:rPr>
          <w:rFonts w:hint="eastAsia" w:ascii="宋体" w:hAnsi="宋体" w:cs="宋体"/>
          <w:b/>
          <w:sz w:val="24"/>
          <w:szCs w:val="28"/>
        </w:rPr>
        <w:t xml:space="preserve">    </w:t>
      </w:r>
      <w:r>
        <w:rPr>
          <w:rFonts w:hint="eastAsia" w:ascii="彩虹粗仿宋" w:eastAsia="彩虹粗仿宋"/>
          <w:b/>
          <w:sz w:val="24"/>
          <w:szCs w:val="28"/>
        </w:rPr>
        <w:t>日</w:t>
      </w:r>
    </w:p>
    <w:p>
      <w:pPr>
        <w:adjustRightInd w:val="0"/>
        <w:snapToGrid w:val="0"/>
        <w:rPr>
          <w:rFonts w:hint="eastAsia" w:ascii="彩虹粗仿宋" w:hAnsi="宋体" w:eastAsia="彩虹粗仿宋" w:cs="Arial"/>
          <w:sz w:val="24"/>
        </w:rPr>
      </w:pPr>
    </w:p>
    <w:p/>
    <w:p/>
    <w:bookmarkEnd w:id="0"/>
    <w:p/>
    <w:sectPr>
      <w:headerReference r:id="rId6" w:type="default"/>
      <w:footerReference r:id="rId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33</w:t>
    </w:r>
    <w:r>
      <w:rPr>
        <w:rStyle w:val="27"/>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7F63C"/>
    <w:multiLevelType w:val="singleLevel"/>
    <w:tmpl w:val="2AD7F63C"/>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7F"/>
    <w:rsid w:val="000024F9"/>
    <w:rsid w:val="00014F5E"/>
    <w:rsid w:val="00025EBB"/>
    <w:rsid w:val="00033697"/>
    <w:rsid w:val="00043538"/>
    <w:rsid w:val="0004516C"/>
    <w:rsid w:val="000471E8"/>
    <w:rsid w:val="00052DD1"/>
    <w:rsid w:val="00055B8E"/>
    <w:rsid w:val="000662BB"/>
    <w:rsid w:val="00073117"/>
    <w:rsid w:val="000836E4"/>
    <w:rsid w:val="000841AB"/>
    <w:rsid w:val="00085734"/>
    <w:rsid w:val="0009125B"/>
    <w:rsid w:val="00092B02"/>
    <w:rsid w:val="000A0DC9"/>
    <w:rsid w:val="000A6320"/>
    <w:rsid w:val="000B6015"/>
    <w:rsid w:val="000B6BF5"/>
    <w:rsid w:val="000C0991"/>
    <w:rsid w:val="000C0B9D"/>
    <w:rsid w:val="000C1DB4"/>
    <w:rsid w:val="000E4A24"/>
    <w:rsid w:val="000F0982"/>
    <w:rsid w:val="000F5ED3"/>
    <w:rsid w:val="000F7FCB"/>
    <w:rsid w:val="00100B98"/>
    <w:rsid w:val="001125C9"/>
    <w:rsid w:val="0012054D"/>
    <w:rsid w:val="00132C6D"/>
    <w:rsid w:val="00135594"/>
    <w:rsid w:val="0014099C"/>
    <w:rsid w:val="0015074B"/>
    <w:rsid w:val="0018537F"/>
    <w:rsid w:val="00197230"/>
    <w:rsid w:val="001A3B29"/>
    <w:rsid w:val="001C05A5"/>
    <w:rsid w:val="001D76FC"/>
    <w:rsid w:val="001E5E1B"/>
    <w:rsid w:val="002003A2"/>
    <w:rsid w:val="002034B0"/>
    <w:rsid w:val="00212970"/>
    <w:rsid w:val="002173F8"/>
    <w:rsid w:val="00227208"/>
    <w:rsid w:val="00230FA1"/>
    <w:rsid w:val="00232A1C"/>
    <w:rsid w:val="002358C1"/>
    <w:rsid w:val="00251A06"/>
    <w:rsid w:val="002641D1"/>
    <w:rsid w:val="002675F3"/>
    <w:rsid w:val="002733AC"/>
    <w:rsid w:val="00274EA9"/>
    <w:rsid w:val="002825A4"/>
    <w:rsid w:val="0028293D"/>
    <w:rsid w:val="002B4247"/>
    <w:rsid w:val="002C0D68"/>
    <w:rsid w:val="002D5DBF"/>
    <w:rsid w:val="002D640A"/>
    <w:rsid w:val="003037ED"/>
    <w:rsid w:val="00303FBE"/>
    <w:rsid w:val="00325859"/>
    <w:rsid w:val="003269BB"/>
    <w:rsid w:val="0034364D"/>
    <w:rsid w:val="00361048"/>
    <w:rsid w:val="003611B9"/>
    <w:rsid w:val="00363BA7"/>
    <w:rsid w:val="003751D1"/>
    <w:rsid w:val="00383FBF"/>
    <w:rsid w:val="0039110D"/>
    <w:rsid w:val="003A4EEC"/>
    <w:rsid w:val="003A5025"/>
    <w:rsid w:val="003B1C14"/>
    <w:rsid w:val="003B46F9"/>
    <w:rsid w:val="003B7E82"/>
    <w:rsid w:val="003C6C76"/>
    <w:rsid w:val="003E1E8E"/>
    <w:rsid w:val="003F0D6B"/>
    <w:rsid w:val="00401831"/>
    <w:rsid w:val="004045F9"/>
    <w:rsid w:val="004070BF"/>
    <w:rsid w:val="004103A2"/>
    <w:rsid w:val="00415F65"/>
    <w:rsid w:val="004233F5"/>
    <w:rsid w:val="00433C78"/>
    <w:rsid w:val="0043423D"/>
    <w:rsid w:val="004378D0"/>
    <w:rsid w:val="004569BE"/>
    <w:rsid w:val="004606C9"/>
    <w:rsid w:val="00470D80"/>
    <w:rsid w:val="00472D5F"/>
    <w:rsid w:val="0047762F"/>
    <w:rsid w:val="004820FE"/>
    <w:rsid w:val="004A1E71"/>
    <w:rsid w:val="004A2465"/>
    <w:rsid w:val="004A6368"/>
    <w:rsid w:val="004B3796"/>
    <w:rsid w:val="004C1330"/>
    <w:rsid w:val="004C19B4"/>
    <w:rsid w:val="004C1CF8"/>
    <w:rsid w:val="004C3AF5"/>
    <w:rsid w:val="004E101D"/>
    <w:rsid w:val="004E25EB"/>
    <w:rsid w:val="004E6F8A"/>
    <w:rsid w:val="0050027A"/>
    <w:rsid w:val="00501CF4"/>
    <w:rsid w:val="00510EBA"/>
    <w:rsid w:val="00535D81"/>
    <w:rsid w:val="00542BD6"/>
    <w:rsid w:val="005449E1"/>
    <w:rsid w:val="005500B0"/>
    <w:rsid w:val="00567C85"/>
    <w:rsid w:val="00591EB4"/>
    <w:rsid w:val="00593605"/>
    <w:rsid w:val="0059405A"/>
    <w:rsid w:val="005A2446"/>
    <w:rsid w:val="005B4E4A"/>
    <w:rsid w:val="005D129B"/>
    <w:rsid w:val="005D2018"/>
    <w:rsid w:val="005D6A9F"/>
    <w:rsid w:val="005D71F6"/>
    <w:rsid w:val="005E17DA"/>
    <w:rsid w:val="005E654C"/>
    <w:rsid w:val="005E7D65"/>
    <w:rsid w:val="005F3A20"/>
    <w:rsid w:val="005F4C60"/>
    <w:rsid w:val="00610091"/>
    <w:rsid w:val="006126F0"/>
    <w:rsid w:val="00614F24"/>
    <w:rsid w:val="00616CEF"/>
    <w:rsid w:val="00617908"/>
    <w:rsid w:val="00626EC3"/>
    <w:rsid w:val="00634F7C"/>
    <w:rsid w:val="0063571B"/>
    <w:rsid w:val="006358B1"/>
    <w:rsid w:val="00642A8A"/>
    <w:rsid w:val="00645DC7"/>
    <w:rsid w:val="00654841"/>
    <w:rsid w:val="0065627F"/>
    <w:rsid w:val="00657339"/>
    <w:rsid w:val="00661CA3"/>
    <w:rsid w:val="00676E2E"/>
    <w:rsid w:val="0068629F"/>
    <w:rsid w:val="006A5F59"/>
    <w:rsid w:val="006B13D5"/>
    <w:rsid w:val="006B4273"/>
    <w:rsid w:val="006D0EA5"/>
    <w:rsid w:val="006E7C25"/>
    <w:rsid w:val="006F779C"/>
    <w:rsid w:val="00710218"/>
    <w:rsid w:val="00714698"/>
    <w:rsid w:val="00720365"/>
    <w:rsid w:val="00726310"/>
    <w:rsid w:val="00734FDC"/>
    <w:rsid w:val="0073607B"/>
    <w:rsid w:val="0074065C"/>
    <w:rsid w:val="0075591A"/>
    <w:rsid w:val="00755C13"/>
    <w:rsid w:val="00765ED3"/>
    <w:rsid w:val="007721C3"/>
    <w:rsid w:val="007748AD"/>
    <w:rsid w:val="00775F3A"/>
    <w:rsid w:val="00795194"/>
    <w:rsid w:val="007A01BF"/>
    <w:rsid w:val="007A3D26"/>
    <w:rsid w:val="007A5C83"/>
    <w:rsid w:val="007C268E"/>
    <w:rsid w:val="007D6157"/>
    <w:rsid w:val="007F3D68"/>
    <w:rsid w:val="007F619B"/>
    <w:rsid w:val="007F62F9"/>
    <w:rsid w:val="0080732A"/>
    <w:rsid w:val="00810C35"/>
    <w:rsid w:val="00816B6A"/>
    <w:rsid w:val="00820193"/>
    <w:rsid w:val="00820591"/>
    <w:rsid w:val="008236A5"/>
    <w:rsid w:val="0083046C"/>
    <w:rsid w:val="008350E5"/>
    <w:rsid w:val="00837402"/>
    <w:rsid w:val="0084553F"/>
    <w:rsid w:val="00846172"/>
    <w:rsid w:val="008473CF"/>
    <w:rsid w:val="00847DD3"/>
    <w:rsid w:val="00850426"/>
    <w:rsid w:val="0085689A"/>
    <w:rsid w:val="008675B8"/>
    <w:rsid w:val="00870D7D"/>
    <w:rsid w:val="0087125E"/>
    <w:rsid w:val="00872089"/>
    <w:rsid w:val="00875BA4"/>
    <w:rsid w:val="008830A6"/>
    <w:rsid w:val="008942EE"/>
    <w:rsid w:val="008A1CEC"/>
    <w:rsid w:val="008B112F"/>
    <w:rsid w:val="008C0954"/>
    <w:rsid w:val="008C0AC9"/>
    <w:rsid w:val="008C27B8"/>
    <w:rsid w:val="008C288B"/>
    <w:rsid w:val="008E0BAD"/>
    <w:rsid w:val="008F08D7"/>
    <w:rsid w:val="008F23A8"/>
    <w:rsid w:val="00906B21"/>
    <w:rsid w:val="00912F8C"/>
    <w:rsid w:val="0091304D"/>
    <w:rsid w:val="0091596D"/>
    <w:rsid w:val="009204E9"/>
    <w:rsid w:val="00923A2D"/>
    <w:rsid w:val="00927782"/>
    <w:rsid w:val="00934AF7"/>
    <w:rsid w:val="0093578F"/>
    <w:rsid w:val="009428F5"/>
    <w:rsid w:val="00945FB2"/>
    <w:rsid w:val="00953FA5"/>
    <w:rsid w:val="00954EFE"/>
    <w:rsid w:val="00976406"/>
    <w:rsid w:val="00981311"/>
    <w:rsid w:val="00991CCD"/>
    <w:rsid w:val="009A0D80"/>
    <w:rsid w:val="009B16A7"/>
    <w:rsid w:val="009D0267"/>
    <w:rsid w:val="009D60E2"/>
    <w:rsid w:val="009D76C4"/>
    <w:rsid w:val="009F2F01"/>
    <w:rsid w:val="009F384A"/>
    <w:rsid w:val="009F59DC"/>
    <w:rsid w:val="009F5CCF"/>
    <w:rsid w:val="00A018D7"/>
    <w:rsid w:val="00A02B86"/>
    <w:rsid w:val="00A123EA"/>
    <w:rsid w:val="00A15A53"/>
    <w:rsid w:val="00A21157"/>
    <w:rsid w:val="00A2272D"/>
    <w:rsid w:val="00A24D34"/>
    <w:rsid w:val="00A24F7D"/>
    <w:rsid w:val="00A262F2"/>
    <w:rsid w:val="00A35BFD"/>
    <w:rsid w:val="00A36003"/>
    <w:rsid w:val="00A4133A"/>
    <w:rsid w:val="00A6029A"/>
    <w:rsid w:val="00A606FD"/>
    <w:rsid w:val="00A72217"/>
    <w:rsid w:val="00A7255A"/>
    <w:rsid w:val="00A74063"/>
    <w:rsid w:val="00A74228"/>
    <w:rsid w:val="00A82D35"/>
    <w:rsid w:val="00A83C38"/>
    <w:rsid w:val="00A843F4"/>
    <w:rsid w:val="00A8441F"/>
    <w:rsid w:val="00A875F7"/>
    <w:rsid w:val="00A936A1"/>
    <w:rsid w:val="00A965E8"/>
    <w:rsid w:val="00A976C3"/>
    <w:rsid w:val="00AB1BE8"/>
    <w:rsid w:val="00AB22F2"/>
    <w:rsid w:val="00AB23A9"/>
    <w:rsid w:val="00AB29B7"/>
    <w:rsid w:val="00AC2F84"/>
    <w:rsid w:val="00AD1C13"/>
    <w:rsid w:val="00AD21CA"/>
    <w:rsid w:val="00AF40D0"/>
    <w:rsid w:val="00AF56E4"/>
    <w:rsid w:val="00B069F6"/>
    <w:rsid w:val="00B14F0A"/>
    <w:rsid w:val="00B2400F"/>
    <w:rsid w:val="00B34E98"/>
    <w:rsid w:val="00B34FD6"/>
    <w:rsid w:val="00B51686"/>
    <w:rsid w:val="00B53BDB"/>
    <w:rsid w:val="00B629DF"/>
    <w:rsid w:val="00B649FE"/>
    <w:rsid w:val="00B738EE"/>
    <w:rsid w:val="00B778DE"/>
    <w:rsid w:val="00B77E96"/>
    <w:rsid w:val="00B8225A"/>
    <w:rsid w:val="00B84672"/>
    <w:rsid w:val="00B876E3"/>
    <w:rsid w:val="00B9408B"/>
    <w:rsid w:val="00BA27AF"/>
    <w:rsid w:val="00BA2C5C"/>
    <w:rsid w:val="00BA6047"/>
    <w:rsid w:val="00BA65CE"/>
    <w:rsid w:val="00BB6B2C"/>
    <w:rsid w:val="00BC43DE"/>
    <w:rsid w:val="00BD039F"/>
    <w:rsid w:val="00BD1268"/>
    <w:rsid w:val="00BD587D"/>
    <w:rsid w:val="00BD6BC7"/>
    <w:rsid w:val="00BE3E42"/>
    <w:rsid w:val="00BF014D"/>
    <w:rsid w:val="00BF0ADF"/>
    <w:rsid w:val="00BF1608"/>
    <w:rsid w:val="00BF7A74"/>
    <w:rsid w:val="00C11B14"/>
    <w:rsid w:val="00C127A4"/>
    <w:rsid w:val="00C16971"/>
    <w:rsid w:val="00C25C70"/>
    <w:rsid w:val="00C5268F"/>
    <w:rsid w:val="00C52B29"/>
    <w:rsid w:val="00C63E51"/>
    <w:rsid w:val="00C73F74"/>
    <w:rsid w:val="00C803D7"/>
    <w:rsid w:val="00C8374D"/>
    <w:rsid w:val="00C8703E"/>
    <w:rsid w:val="00C90423"/>
    <w:rsid w:val="00C92E3C"/>
    <w:rsid w:val="00CA4C13"/>
    <w:rsid w:val="00CC4D9B"/>
    <w:rsid w:val="00CD6844"/>
    <w:rsid w:val="00CD75A2"/>
    <w:rsid w:val="00D00251"/>
    <w:rsid w:val="00D1676A"/>
    <w:rsid w:val="00D25BFB"/>
    <w:rsid w:val="00D318C1"/>
    <w:rsid w:val="00D33B26"/>
    <w:rsid w:val="00D33B2F"/>
    <w:rsid w:val="00D37EB8"/>
    <w:rsid w:val="00D53A68"/>
    <w:rsid w:val="00D561E3"/>
    <w:rsid w:val="00D64C37"/>
    <w:rsid w:val="00D654BA"/>
    <w:rsid w:val="00D65C0B"/>
    <w:rsid w:val="00D83963"/>
    <w:rsid w:val="00D83EAA"/>
    <w:rsid w:val="00D86008"/>
    <w:rsid w:val="00D87A49"/>
    <w:rsid w:val="00D92AF5"/>
    <w:rsid w:val="00D94781"/>
    <w:rsid w:val="00D976A5"/>
    <w:rsid w:val="00DA05A2"/>
    <w:rsid w:val="00DA0D37"/>
    <w:rsid w:val="00DA356F"/>
    <w:rsid w:val="00DA48BB"/>
    <w:rsid w:val="00DB1C9C"/>
    <w:rsid w:val="00DB37BB"/>
    <w:rsid w:val="00DD4E54"/>
    <w:rsid w:val="00DD6CE1"/>
    <w:rsid w:val="00DE0E6F"/>
    <w:rsid w:val="00DE1D3E"/>
    <w:rsid w:val="00DF2E52"/>
    <w:rsid w:val="00DF3A43"/>
    <w:rsid w:val="00DF68BF"/>
    <w:rsid w:val="00E039EE"/>
    <w:rsid w:val="00E05376"/>
    <w:rsid w:val="00E05F79"/>
    <w:rsid w:val="00E10C87"/>
    <w:rsid w:val="00E35C1B"/>
    <w:rsid w:val="00E423F5"/>
    <w:rsid w:val="00E538B1"/>
    <w:rsid w:val="00E54677"/>
    <w:rsid w:val="00E66576"/>
    <w:rsid w:val="00E933EF"/>
    <w:rsid w:val="00E937EB"/>
    <w:rsid w:val="00EA159F"/>
    <w:rsid w:val="00EA2E84"/>
    <w:rsid w:val="00EA3141"/>
    <w:rsid w:val="00EA6276"/>
    <w:rsid w:val="00EA773B"/>
    <w:rsid w:val="00EB4102"/>
    <w:rsid w:val="00EC1FA8"/>
    <w:rsid w:val="00EC2B4D"/>
    <w:rsid w:val="00EC2E22"/>
    <w:rsid w:val="00EC5CDF"/>
    <w:rsid w:val="00ED5708"/>
    <w:rsid w:val="00EE2BE5"/>
    <w:rsid w:val="00EF5CF7"/>
    <w:rsid w:val="00F078D6"/>
    <w:rsid w:val="00F14CCF"/>
    <w:rsid w:val="00F1565E"/>
    <w:rsid w:val="00F2367B"/>
    <w:rsid w:val="00F31816"/>
    <w:rsid w:val="00F326EC"/>
    <w:rsid w:val="00F35B56"/>
    <w:rsid w:val="00F365A0"/>
    <w:rsid w:val="00F422C5"/>
    <w:rsid w:val="00F44A5D"/>
    <w:rsid w:val="00F46567"/>
    <w:rsid w:val="00F5410E"/>
    <w:rsid w:val="00F57A45"/>
    <w:rsid w:val="00F6039C"/>
    <w:rsid w:val="00F61D4D"/>
    <w:rsid w:val="00F74812"/>
    <w:rsid w:val="00F7719C"/>
    <w:rsid w:val="00F838E9"/>
    <w:rsid w:val="00F85C9E"/>
    <w:rsid w:val="00F86473"/>
    <w:rsid w:val="00F8744B"/>
    <w:rsid w:val="00F94D1D"/>
    <w:rsid w:val="00F95D93"/>
    <w:rsid w:val="00FA1D61"/>
    <w:rsid w:val="00FA6414"/>
    <w:rsid w:val="00FB2B2E"/>
    <w:rsid w:val="00FB32B5"/>
    <w:rsid w:val="00FB379E"/>
    <w:rsid w:val="00FB54E5"/>
    <w:rsid w:val="00FC2DDE"/>
    <w:rsid w:val="00FC47DF"/>
    <w:rsid w:val="00FC54E9"/>
    <w:rsid w:val="00FC71A4"/>
    <w:rsid w:val="00FC7518"/>
    <w:rsid w:val="00FD049E"/>
    <w:rsid w:val="00FD05C9"/>
    <w:rsid w:val="00FD3720"/>
    <w:rsid w:val="00FF238E"/>
    <w:rsid w:val="00FF4309"/>
    <w:rsid w:val="00FF5EE9"/>
    <w:rsid w:val="00FF6DF9"/>
    <w:rsid w:val="01921AA3"/>
    <w:rsid w:val="01927F93"/>
    <w:rsid w:val="019A039E"/>
    <w:rsid w:val="02064C9D"/>
    <w:rsid w:val="02752C47"/>
    <w:rsid w:val="02B353FD"/>
    <w:rsid w:val="02B92469"/>
    <w:rsid w:val="02F135B5"/>
    <w:rsid w:val="03492190"/>
    <w:rsid w:val="03A91AC8"/>
    <w:rsid w:val="04924CEC"/>
    <w:rsid w:val="057F13E1"/>
    <w:rsid w:val="05B47F69"/>
    <w:rsid w:val="06926A25"/>
    <w:rsid w:val="06C33FB9"/>
    <w:rsid w:val="06F36E72"/>
    <w:rsid w:val="072315BC"/>
    <w:rsid w:val="078B3253"/>
    <w:rsid w:val="07F62ED8"/>
    <w:rsid w:val="0817282F"/>
    <w:rsid w:val="091E0FEC"/>
    <w:rsid w:val="09282F6E"/>
    <w:rsid w:val="09327241"/>
    <w:rsid w:val="095D2794"/>
    <w:rsid w:val="0A9C61F8"/>
    <w:rsid w:val="0AA20101"/>
    <w:rsid w:val="0AE578F1"/>
    <w:rsid w:val="0B2F5AE9"/>
    <w:rsid w:val="0BAC79E8"/>
    <w:rsid w:val="0BDD0D6A"/>
    <w:rsid w:val="0C383A1B"/>
    <w:rsid w:val="0C923886"/>
    <w:rsid w:val="0E1651AA"/>
    <w:rsid w:val="0E860DA3"/>
    <w:rsid w:val="0EAA7C1C"/>
    <w:rsid w:val="0EC1306C"/>
    <w:rsid w:val="0EF828EF"/>
    <w:rsid w:val="0F21718D"/>
    <w:rsid w:val="0F856685"/>
    <w:rsid w:val="0FD71869"/>
    <w:rsid w:val="104D575C"/>
    <w:rsid w:val="1085402A"/>
    <w:rsid w:val="10FB3C68"/>
    <w:rsid w:val="114525E6"/>
    <w:rsid w:val="11624912"/>
    <w:rsid w:val="11EC0FF2"/>
    <w:rsid w:val="120B5751"/>
    <w:rsid w:val="124C5B94"/>
    <w:rsid w:val="13370ECC"/>
    <w:rsid w:val="136F49F2"/>
    <w:rsid w:val="13D95FBD"/>
    <w:rsid w:val="13DA406E"/>
    <w:rsid w:val="14111FFD"/>
    <w:rsid w:val="14A635E8"/>
    <w:rsid w:val="1523533D"/>
    <w:rsid w:val="156B7CAF"/>
    <w:rsid w:val="16B3417A"/>
    <w:rsid w:val="16CFDFE8"/>
    <w:rsid w:val="16D274DD"/>
    <w:rsid w:val="175864B7"/>
    <w:rsid w:val="17612369"/>
    <w:rsid w:val="18197919"/>
    <w:rsid w:val="18407164"/>
    <w:rsid w:val="192B33EA"/>
    <w:rsid w:val="19520FA1"/>
    <w:rsid w:val="19A838D1"/>
    <w:rsid w:val="19B50B61"/>
    <w:rsid w:val="19D917D4"/>
    <w:rsid w:val="1A656B35"/>
    <w:rsid w:val="1A7554F6"/>
    <w:rsid w:val="1AFE05D6"/>
    <w:rsid w:val="1B0F20A2"/>
    <w:rsid w:val="1BD25751"/>
    <w:rsid w:val="1C1D0A2D"/>
    <w:rsid w:val="1C2900C3"/>
    <w:rsid w:val="1C57790E"/>
    <w:rsid w:val="1C8B1061"/>
    <w:rsid w:val="1CED3684"/>
    <w:rsid w:val="1CFA7117"/>
    <w:rsid w:val="1D172EC6"/>
    <w:rsid w:val="1D41530D"/>
    <w:rsid w:val="1D7474C5"/>
    <w:rsid w:val="1DC719D1"/>
    <w:rsid w:val="1F9F6471"/>
    <w:rsid w:val="21962D28"/>
    <w:rsid w:val="21DC5A1B"/>
    <w:rsid w:val="21F4168E"/>
    <w:rsid w:val="222A359C"/>
    <w:rsid w:val="223512AE"/>
    <w:rsid w:val="223D2F3D"/>
    <w:rsid w:val="23520A80"/>
    <w:rsid w:val="23B0469D"/>
    <w:rsid w:val="24360841"/>
    <w:rsid w:val="24BA682C"/>
    <w:rsid w:val="24BC32DA"/>
    <w:rsid w:val="24DB6CC4"/>
    <w:rsid w:val="2537321F"/>
    <w:rsid w:val="25DC35B6"/>
    <w:rsid w:val="25E41528"/>
    <w:rsid w:val="26257624"/>
    <w:rsid w:val="2647681B"/>
    <w:rsid w:val="2695418D"/>
    <w:rsid w:val="26EB48C0"/>
    <w:rsid w:val="27133A29"/>
    <w:rsid w:val="277A1305"/>
    <w:rsid w:val="2840737F"/>
    <w:rsid w:val="29454C43"/>
    <w:rsid w:val="29F36060"/>
    <w:rsid w:val="2A8118E6"/>
    <w:rsid w:val="2BF83BF0"/>
    <w:rsid w:val="2C3A210E"/>
    <w:rsid w:val="2C8C7B9F"/>
    <w:rsid w:val="2E001109"/>
    <w:rsid w:val="2E1F28B7"/>
    <w:rsid w:val="2EB113D6"/>
    <w:rsid w:val="2EC43D60"/>
    <w:rsid w:val="2EC836B2"/>
    <w:rsid w:val="2F0C10EE"/>
    <w:rsid w:val="2FB2726B"/>
    <w:rsid w:val="303F0333"/>
    <w:rsid w:val="315423FA"/>
    <w:rsid w:val="32992C69"/>
    <w:rsid w:val="32CF5169"/>
    <w:rsid w:val="32E1075C"/>
    <w:rsid w:val="33B66DCC"/>
    <w:rsid w:val="34BC6FB2"/>
    <w:rsid w:val="350A243D"/>
    <w:rsid w:val="356E2F90"/>
    <w:rsid w:val="376A25A6"/>
    <w:rsid w:val="37A70999"/>
    <w:rsid w:val="37CF5A51"/>
    <w:rsid w:val="37D33C22"/>
    <w:rsid w:val="37F479DA"/>
    <w:rsid w:val="38B67A98"/>
    <w:rsid w:val="39027EFE"/>
    <w:rsid w:val="39F42E43"/>
    <w:rsid w:val="3A830B88"/>
    <w:rsid w:val="3AD61125"/>
    <w:rsid w:val="3AEC76B8"/>
    <w:rsid w:val="3AF86D4E"/>
    <w:rsid w:val="3AFA37BA"/>
    <w:rsid w:val="3B7507F2"/>
    <w:rsid w:val="3C297755"/>
    <w:rsid w:val="3C5E539B"/>
    <w:rsid w:val="3C790143"/>
    <w:rsid w:val="3C8A5E54"/>
    <w:rsid w:val="3D022626"/>
    <w:rsid w:val="3D1D0523"/>
    <w:rsid w:val="3DCC328E"/>
    <w:rsid w:val="3E5D28AB"/>
    <w:rsid w:val="3EFDF76D"/>
    <w:rsid w:val="3F9F0CF0"/>
    <w:rsid w:val="40FA7B3B"/>
    <w:rsid w:val="416F28C0"/>
    <w:rsid w:val="41AA4248"/>
    <w:rsid w:val="41AF56CA"/>
    <w:rsid w:val="41E92046"/>
    <w:rsid w:val="420D42ED"/>
    <w:rsid w:val="431D412A"/>
    <w:rsid w:val="433A08C6"/>
    <w:rsid w:val="434D6E78"/>
    <w:rsid w:val="44A37EA6"/>
    <w:rsid w:val="453376C6"/>
    <w:rsid w:val="45352DD5"/>
    <w:rsid w:val="45CF1361"/>
    <w:rsid w:val="46440E3B"/>
    <w:rsid w:val="46CB5EB5"/>
    <w:rsid w:val="47DD5AC9"/>
    <w:rsid w:val="48174852"/>
    <w:rsid w:val="48505CB1"/>
    <w:rsid w:val="4A360DCD"/>
    <w:rsid w:val="4A6D490A"/>
    <w:rsid w:val="4AEA654E"/>
    <w:rsid w:val="4AFE72E8"/>
    <w:rsid w:val="4B2941E0"/>
    <w:rsid w:val="4BFF5791"/>
    <w:rsid w:val="4C085DCC"/>
    <w:rsid w:val="4C4039A8"/>
    <w:rsid w:val="4CA11E60"/>
    <w:rsid w:val="4D3B1641"/>
    <w:rsid w:val="4DEC5985"/>
    <w:rsid w:val="4DF74EC1"/>
    <w:rsid w:val="4FAB367E"/>
    <w:rsid w:val="4FB85258"/>
    <w:rsid w:val="50060470"/>
    <w:rsid w:val="502C01A2"/>
    <w:rsid w:val="506B4CFC"/>
    <w:rsid w:val="50ED3FD0"/>
    <w:rsid w:val="50F66D2D"/>
    <w:rsid w:val="50FFA1DA"/>
    <w:rsid w:val="511B1B28"/>
    <w:rsid w:val="51B902F8"/>
    <w:rsid w:val="535940CA"/>
    <w:rsid w:val="53F961D2"/>
    <w:rsid w:val="540E7EC1"/>
    <w:rsid w:val="54A076B6"/>
    <w:rsid w:val="54C94D75"/>
    <w:rsid w:val="54DF4E3B"/>
    <w:rsid w:val="54FA013D"/>
    <w:rsid w:val="553426D6"/>
    <w:rsid w:val="553E7753"/>
    <w:rsid w:val="55B36D6D"/>
    <w:rsid w:val="55C41326"/>
    <w:rsid w:val="56663D4D"/>
    <w:rsid w:val="56FF836F"/>
    <w:rsid w:val="5724554D"/>
    <w:rsid w:val="578E7032"/>
    <w:rsid w:val="57A36C92"/>
    <w:rsid w:val="58CB332B"/>
    <w:rsid w:val="592A00D8"/>
    <w:rsid w:val="59464185"/>
    <w:rsid w:val="594839C2"/>
    <w:rsid w:val="595F65E5"/>
    <w:rsid w:val="59751451"/>
    <w:rsid w:val="5A6D3BE8"/>
    <w:rsid w:val="5D9C4ACA"/>
    <w:rsid w:val="5DBB674E"/>
    <w:rsid w:val="5DF0723E"/>
    <w:rsid w:val="5DF50FB6"/>
    <w:rsid w:val="5E6A4DBB"/>
    <w:rsid w:val="5E712AFE"/>
    <w:rsid w:val="5ECC5796"/>
    <w:rsid w:val="5ED14B56"/>
    <w:rsid w:val="5EDC5A30"/>
    <w:rsid w:val="5F6E751E"/>
    <w:rsid w:val="5F746631"/>
    <w:rsid w:val="5FDB15EC"/>
    <w:rsid w:val="5FDF41C9"/>
    <w:rsid w:val="5FEA4890"/>
    <w:rsid w:val="604834F4"/>
    <w:rsid w:val="60B56E6D"/>
    <w:rsid w:val="60BD6124"/>
    <w:rsid w:val="60F62FC7"/>
    <w:rsid w:val="61505ADA"/>
    <w:rsid w:val="6217747C"/>
    <w:rsid w:val="623C3E38"/>
    <w:rsid w:val="625A6C6C"/>
    <w:rsid w:val="62FF1978"/>
    <w:rsid w:val="638B4DDF"/>
    <w:rsid w:val="63981DED"/>
    <w:rsid w:val="63B72DBB"/>
    <w:rsid w:val="645B63B1"/>
    <w:rsid w:val="64FE5E07"/>
    <w:rsid w:val="65204BF2"/>
    <w:rsid w:val="65686EB6"/>
    <w:rsid w:val="656E7C52"/>
    <w:rsid w:val="65D42226"/>
    <w:rsid w:val="65E20E78"/>
    <w:rsid w:val="669B3457"/>
    <w:rsid w:val="66DFBD8C"/>
    <w:rsid w:val="66E321C6"/>
    <w:rsid w:val="670124F0"/>
    <w:rsid w:val="67305EDA"/>
    <w:rsid w:val="678A1A6C"/>
    <w:rsid w:val="67F77E3B"/>
    <w:rsid w:val="684F985E"/>
    <w:rsid w:val="68754C7C"/>
    <w:rsid w:val="689457A1"/>
    <w:rsid w:val="69A03414"/>
    <w:rsid w:val="69D61631"/>
    <w:rsid w:val="69E32EC5"/>
    <w:rsid w:val="69F5937D"/>
    <w:rsid w:val="6A6A7BDA"/>
    <w:rsid w:val="6A6B7926"/>
    <w:rsid w:val="6A94521E"/>
    <w:rsid w:val="6AB976A5"/>
    <w:rsid w:val="6B6B6E02"/>
    <w:rsid w:val="6BB64BB3"/>
    <w:rsid w:val="6BC1777D"/>
    <w:rsid w:val="6C2446F9"/>
    <w:rsid w:val="6CFDF37F"/>
    <w:rsid w:val="6D044310"/>
    <w:rsid w:val="6D58123E"/>
    <w:rsid w:val="6D68823B"/>
    <w:rsid w:val="6DA858F1"/>
    <w:rsid w:val="6F9A1257"/>
    <w:rsid w:val="6FC11820"/>
    <w:rsid w:val="6FE701CD"/>
    <w:rsid w:val="6FF79AFD"/>
    <w:rsid w:val="6FFFFE77"/>
    <w:rsid w:val="70524453"/>
    <w:rsid w:val="70940B74"/>
    <w:rsid w:val="709829C9"/>
    <w:rsid w:val="709E6AD1"/>
    <w:rsid w:val="70C77FE3"/>
    <w:rsid w:val="715E368C"/>
    <w:rsid w:val="71812D1B"/>
    <w:rsid w:val="71A71C53"/>
    <w:rsid w:val="7261BCCD"/>
    <w:rsid w:val="72652BB9"/>
    <w:rsid w:val="72684572"/>
    <w:rsid w:val="72BE686E"/>
    <w:rsid w:val="73977AB3"/>
    <w:rsid w:val="74102E13"/>
    <w:rsid w:val="74965BFA"/>
    <w:rsid w:val="74EC11F8"/>
    <w:rsid w:val="750F0599"/>
    <w:rsid w:val="752739E7"/>
    <w:rsid w:val="753779DC"/>
    <w:rsid w:val="755A1FAE"/>
    <w:rsid w:val="7601009A"/>
    <w:rsid w:val="76BC6900"/>
    <w:rsid w:val="76F7B5EF"/>
    <w:rsid w:val="76FE0523"/>
    <w:rsid w:val="77166770"/>
    <w:rsid w:val="773651D8"/>
    <w:rsid w:val="778D0077"/>
    <w:rsid w:val="78465F6B"/>
    <w:rsid w:val="789D5404"/>
    <w:rsid w:val="78DB28E4"/>
    <w:rsid w:val="79395171"/>
    <w:rsid w:val="799E2F01"/>
    <w:rsid w:val="7A7150E3"/>
    <w:rsid w:val="7AB15C57"/>
    <w:rsid w:val="7AF1015B"/>
    <w:rsid w:val="7B096B68"/>
    <w:rsid w:val="7B1249F7"/>
    <w:rsid w:val="7B2FBB82"/>
    <w:rsid w:val="7B675A02"/>
    <w:rsid w:val="7B7B61E2"/>
    <w:rsid w:val="7B815D95"/>
    <w:rsid w:val="7B9A195A"/>
    <w:rsid w:val="7BEED746"/>
    <w:rsid w:val="7BFA4CF4"/>
    <w:rsid w:val="7C467372"/>
    <w:rsid w:val="7C5F249A"/>
    <w:rsid w:val="7CA26407"/>
    <w:rsid w:val="7D4772D2"/>
    <w:rsid w:val="7D5052A6"/>
    <w:rsid w:val="7DFEA182"/>
    <w:rsid w:val="7DFF67FA"/>
    <w:rsid w:val="7E903A34"/>
    <w:rsid w:val="7EBB56CE"/>
    <w:rsid w:val="7ECD5A97"/>
    <w:rsid w:val="7F330CBF"/>
    <w:rsid w:val="7F530CFC"/>
    <w:rsid w:val="7F6D90FE"/>
    <w:rsid w:val="7F6E638F"/>
    <w:rsid w:val="7F7F05D6"/>
    <w:rsid w:val="7FBF7D0F"/>
    <w:rsid w:val="7FDDCD87"/>
    <w:rsid w:val="7FE6121D"/>
    <w:rsid w:val="7FF9C4A2"/>
    <w:rsid w:val="7FFDB320"/>
    <w:rsid w:val="7FFF4F1E"/>
    <w:rsid w:val="8DF65A7C"/>
    <w:rsid w:val="977DDED9"/>
    <w:rsid w:val="997F2540"/>
    <w:rsid w:val="9FFFC0C4"/>
    <w:rsid w:val="AF90A89C"/>
    <w:rsid w:val="AFFF26CE"/>
    <w:rsid w:val="AFFFAFB9"/>
    <w:rsid w:val="B7EDCD84"/>
    <w:rsid w:val="BADA36A5"/>
    <w:rsid w:val="BE93D5C5"/>
    <w:rsid w:val="BEFA90D9"/>
    <w:rsid w:val="CCFED2AE"/>
    <w:rsid w:val="CCFF8CA5"/>
    <w:rsid w:val="CDDD2D7D"/>
    <w:rsid w:val="CFB7956B"/>
    <w:rsid w:val="CFBB2002"/>
    <w:rsid w:val="CFFF6D01"/>
    <w:rsid w:val="D3F56A7B"/>
    <w:rsid w:val="D5B5CC38"/>
    <w:rsid w:val="D659ED91"/>
    <w:rsid w:val="D7FFB3CE"/>
    <w:rsid w:val="D963EC21"/>
    <w:rsid w:val="DBDE32FE"/>
    <w:rsid w:val="DBEC913A"/>
    <w:rsid w:val="DBFFBDBD"/>
    <w:rsid w:val="DF5723CE"/>
    <w:rsid w:val="DFB856F8"/>
    <w:rsid w:val="DFFD639D"/>
    <w:rsid w:val="E55FE39A"/>
    <w:rsid w:val="E6D3B87A"/>
    <w:rsid w:val="E6F7FCA1"/>
    <w:rsid w:val="EDC30959"/>
    <w:rsid w:val="EF7D23AF"/>
    <w:rsid w:val="EFBF4CE9"/>
    <w:rsid w:val="EFFFB30F"/>
    <w:rsid w:val="F3FFFDC1"/>
    <w:rsid w:val="F7DF5FD4"/>
    <w:rsid w:val="F7FFAFBA"/>
    <w:rsid w:val="F897229E"/>
    <w:rsid w:val="F9DE64E8"/>
    <w:rsid w:val="F9F9A011"/>
    <w:rsid w:val="FAEB820C"/>
    <w:rsid w:val="FAEEB502"/>
    <w:rsid w:val="FB7BDE68"/>
    <w:rsid w:val="FBE6B4DE"/>
    <w:rsid w:val="FBEE89A2"/>
    <w:rsid w:val="FD3F5BE4"/>
    <w:rsid w:val="FD7F5ABA"/>
    <w:rsid w:val="FDDFB8C0"/>
    <w:rsid w:val="FDF58372"/>
    <w:rsid w:val="FE76570C"/>
    <w:rsid w:val="FEFBAECC"/>
    <w:rsid w:val="FF7D29F9"/>
    <w:rsid w:val="FFA71413"/>
    <w:rsid w:val="FFB73788"/>
    <w:rsid w:val="FFBFF20C"/>
    <w:rsid w:val="FFCF2D7D"/>
    <w:rsid w:val="FFD4A5B0"/>
    <w:rsid w:val="FFE6A6AA"/>
    <w:rsid w:val="FFF52CB7"/>
    <w:rsid w:val="FFF9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4"/>
      <w:lang w:val="en-US" w:eastAsia="zh-CN" w:bidi="ar-SA"/>
    </w:rPr>
  </w:style>
  <w:style w:type="paragraph" w:styleId="2">
    <w:name w:val="heading 2"/>
    <w:basedOn w:val="1"/>
    <w:next w:val="3"/>
    <w:link w:val="31"/>
    <w:qFormat/>
    <w:uiPriority w:val="0"/>
    <w:pPr>
      <w:keepNext/>
      <w:keepLines/>
      <w:spacing w:before="260" w:after="260" w:line="416" w:lineRule="auto"/>
      <w:outlineLvl w:val="1"/>
    </w:pPr>
    <w:rPr>
      <w:rFonts w:ascii="Arial" w:hAnsi="Arial" w:eastAsia="黑体"/>
      <w:b/>
      <w:sz w:val="32"/>
      <w:szCs w:val="20"/>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c 7"/>
    <w:basedOn w:val="1"/>
    <w:next w:val="1"/>
    <w:semiHidden/>
    <w:qFormat/>
    <w:uiPriority w:val="0"/>
    <w:pPr>
      <w:ind w:left="2520" w:leftChars="1200"/>
    </w:pPr>
  </w:style>
  <w:style w:type="paragraph" w:styleId="5">
    <w:name w:val="annotation text"/>
    <w:basedOn w:val="1"/>
    <w:link w:val="32"/>
    <w:qFormat/>
    <w:uiPriority w:val="0"/>
    <w:pPr>
      <w:jc w:val="left"/>
    </w:pPr>
  </w:style>
  <w:style w:type="paragraph" w:styleId="6">
    <w:name w:val="Body Text"/>
    <w:basedOn w:val="1"/>
    <w:link w:val="33"/>
    <w:qFormat/>
    <w:uiPriority w:val="0"/>
    <w:pPr>
      <w:spacing w:line="360" w:lineRule="auto"/>
    </w:pPr>
    <w:rPr>
      <w:rFonts w:ascii="仿宋_GB2312" w:eastAsia="仿宋_GB2312"/>
      <w:color w:val="000000"/>
      <w:kern w:val="0"/>
      <w:sz w:val="24"/>
      <w:szCs w:val="28"/>
    </w:rPr>
  </w:style>
  <w:style w:type="paragraph" w:styleId="7">
    <w:name w:val="Body Text Indent"/>
    <w:basedOn w:val="1"/>
    <w:link w:val="34"/>
    <w:qFormat/>
    <w:uiPriority w:val="0"/>
    <w:pPr>
      <w:adjustRightInd w:val="0"/>
      <w:snapToGrid w:val="0"/>
      <w:spacing w:line="560" w:lineRule="exact"/>
      <w:ind w:firstLine="480" w:firstLineChars="200"/>
    </w:pPr>
    <w:rPr>
      <w:rFonts w:eastAsia="方正仿宋简体"/>
      <w:sz w:val="24"/>
      <w:szCs w:val="3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toc 8"/>
    <w:basedOn w:val="1"/>
    <w:next w:val="1"/>
    <w:semiHidden/>
    <w:qFormat/>
    <w:uiPriority w:val="0"/>
    <w:pPr>
      <w:ind w:left="2940" w:leftChars="1400"/>
    </w:pPr>
  </w:style>
  <w:style w:type="paragraph" w:styleId="11">
    <w:name w:val="Body Text Indent 2"/>
    <w:basedOn w:val="1"/>
    <w:link w:val="35"/>
    <w:qFormat/>
    <w:uiPriority w:val="0"/>
    <w:pPr>
      <w:spacing w:line="360" w:lineRule="auto"/>
      <w:ind w:firstLine="525"/>
    </w:pPr>
    <w:rPr>
      <w:rFonts w:ascii="宋体" w:hAnsi="宋体"/>
      <w:sz w:val="28"/>
      <w:szCs w:val="20"/>
    </w:rPr>
  </w:style>
  <w:style w:type="paragraph" w:styleId="12">
    <w:name w:val="Balloon Text"/>
    <w:basedOn w:val="1"/>
    <w:link w:val="36"/>
    <w:semiHidden/>
    <w:qFormat/>
    <w:uiPriority w:val="0"/>
    <w:rPr>
      <w:sz w:val="18"/>
      <w:szCs w:val="18"/>
    </w:rPr>
  </w:style>
  <w:style w:type="paragraph" w:styleId="13">
    <w:name w:val="footer"/>
    <w:basedOn w:val="1"/>
    <w:link w:val="37"/>
    <w:unhideWhenUsed/>
    <w:qFormat/>
    <w:uiPriority w:val="0"/>
    <w:pPr>
      <w:tabs>
        <w:tab w:val="center" w:pos="4153"/>
        <w:tab w:val="right" w:pos="8306"/>
      </w:tabs>
      <w:snapToGrid w:val="0"/>
      <w:jc w:val="left"/>
    </w:pPr>
    <w:rPr>
      <w:sz w:val="18"/>
      <w:szCs w:val="18"/>
    </w:rPr>
  </w:style>
  <w:style w:type="paragraph" w:styleId="14">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6"/>
    <w:basedOn w:val="1"/>
    <w:next w:val="1"/>
    <w:semiHidden/>
    <w:qFormat/>
    <w:uiPriority w:val="0"/>
    <w:pPr>
      <w:ind w:left="2100" w:leftChars="1000"/>
    </w:pPr>
  </w:style>
  <w:style w:type="paragraph" w:styleId="18">
    <w:name w:val="Body Text Indent 3"/>
    <w:basedOn w:val="1"/>
    <w:link w:val="39"/>
    <w:qFormat/>
    <w:uiPriority w:val="0"/>
    <w:pPr>
      <w:adjustRightInd w:val="0"/>
      <w:snapToGrid w:val="0"/>
      <w:ind w:firstLine="480" w:firstLineChars="200"/>
    </w:pPr>
    <w:rPr>
      <w:rFonts w:ascii="仿宋_GB2312" w:hAnsi="宋体" w:eastAsia="仿宋_GB2312" w:cs="Arial"/>
      <w:color w:val="000000"/>
      <w:sz w:val="24"/>
    </w:rPr>
  </w:style>
  <w:style w:type="paragraph" w:styleId="19">
    <w:name w:val="toc 2"/>
    <w:basedOn w:val="1"/>
    <w:next w:val="1"/>
    <w:semiHidden/>
    <w:qFormat/>
    <w:uiPriority w:val="0"/>
    <w:pPr>
      <w:ind w:left="420" w:leftChars="200"/>
    </w:pPr>
  </w:style>
  <w:style w:type="paragraph" w:styleId="20">
    <w:name w:val="toc 9"/>
    <w:basedOn w:val="1"/>
    <w:next w:val="1"/>
    <w:semiHidden/>
    <w:qFormat/>
    <w:uiPriority w:val="0"/>
    <w:pPr>
      <w:ind w:left="3360" w:leftChars="1600"/>
    </w:pPr>
  </w:style>
  <w:style w:type="paragraph" w:styleId="21">
    <w:name w:val="HTML Preformatted"/>
    <w:basedOn w:val="1"/>
    <w:link w:val="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3">
    <w:name w:val="annotation subject"/>
    <w:basedOn w:val="5"/>
    <w:next w:val="5"/>
    <w:link w:val="41"/>
    <w:qFormat/>
    <w:uiPriority w:val="0"/>
    <w:rPr>
      <w:b/>
      <w:bCs/>
    </w:rPr>
  </w:style>
  <w:style w:type="character" w:styleId="26">
    <w:name w:val="Strong"/>
    <w:qFormat/>
    <w:uiPriority w:val="0"/>
    <w:rPr>
      <w:b/>
      <w:bCs/>
    </w:rPr>
  </w:style>
  <w:style w:type="character" w:styleId="27">
    <w:name w:val="page number"/>
    <w:qFormat/>
    <w:uiPriority w:val="0"/>
  </w:style>
  <w:style w:type="character" w:styleId="28">
    <w:name w:val="FollowedHyperlink"/>
    <w:unhideWhenUsed/>
    <w:qFormat/>
    <w:uiPriority w:val="99"/>
    <w:rPr>
      <w:color w:val="800080"/>
      <w:u w:val="single"/>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customStyle="1" w:styleId="31">
    <w:name w:val="标题 2 字符1"/>
    <w:link w:val="2"/>
    <w:qFormat/>
    <w:uiPriority w:val="0"/>
    <w:rPr>
      <w:rFonts w:ascii="Arial" w:hAnsi="Arial" w:eastAsia="黑体" w:cs="Times New Roman"/>
      <w:b/>
      <w:sz w:val="32"/>
      <w:szCs w:val="20"/>
    </w:rPr>
  </w:style>
  <w:style w:type="character" w:customStyle="1" w:styleId="32">
    <w:name w:val="批注文字 字符2"/>
    <w:link w:val="5"/>
    <w:qFormat/>
    <w:uiPriority w:val="0"/>
    <w:rPr>
      <w:rFonts w:ascii="Times New Roman" w:hAnsi="Times New Roman" w:eastAsia="宋体" w:cs="Times New Roman"/>
      <w:szCs w:val="24"/>
    </w:rPr>
  </w:style>
  <w:style w:type="character" w:customStyle="1" w:styleId="33">
    <w:name w:val="正文文本 字符1"/>
    <w:link w:val="6"/>
    <w:qFormat/>
    <w:uiPriority w:val="0"/>
    <w:rPr>
      <w:rFonts w:ascii="仿宋_GB2312" w:hAnsi="Times New Roman" w:eastAsia="仿宋_GB2312" w:cs="Times New Roman"/>
      <w:color w:val="000000"/>
      <w:kern w:val="0"/>
      <w:sz w:val="24"/>
      <w:szCs w:val="28"/>
    </w:rPr>
  </w:style>
  <w:style w:type="character" w:customStyle="1" w:styleId="34">
    <w:name w:val="正文文本缩进 字符1"/>
    <w:link w:val="7"/>
    <w:qFormat/>
    <w:uiPriority w:val="0"/>
    <w:rPr>
      <w:rFonts w:ascii="Times New Roman" w:hAnsi="Times New Roman" w:eastAsia="方正仿宋简体" w:cs="Times New Roman"/>
      <w:sz w:val="24"/>
      <w:szCs w:val="30"/>
    </w:rPr>
  </w:style>
  <w:style w:type="character" w:customStyle="1" w:styleId="35">
    <w:name w:val="正文文本缩进 2 字符1"/>
    <w:link w:val="11"/>
    <w:qFormat/>
    <w:uiPriority w:val="0"/>
    <w:rPr>
      <w:rFonts w:ascii="宋体" w:hAnsi="宋体" w:eastAsia="宋体" w:cs="Times New Roman"/>
      <w:sz w:val="28"/>
      <w:szCs w:val="20"/>
    </w:rPr>
  </w:style>
  <w:style w:type="character" w:customStyle="1" w:styleId="36">
    <w:name w:val="批注框文本 字符1"/>
    <w:link w:val="12"/>
    <w:semiHidden/>
    <w:qFormat/>
    <w:uiPriority w:val="0"/>
    <w:rPr>
      <w:rFonts w:ascii="Times New Roman" w:hAnsi="Times New Roman" w:eastAsia="宋体" w:cs="Times New Roman"/>
      <w:sz w:val="18"/>
      <w:szCs w:val="18"/>
    </w:rPr>
  </w:style>
  <w:style w:type="character" w:customStyle="1" w:styleId="37">
    <w:name w:val="页脚 字符"/>
    <w:link w:val="13"/>
    <w:qFormat/>
    <w:uiPriority w:val="99"/>
    <w:rPr>
      <w:sz w:val="18"/>
      <w:szCs w:val="18"/>
    </w:rPr>
  </w:style>
  <w:style w:type="character" w:customStyle="1" w:styleId="38">
    <w:name w:val="页眉 字符"/>
    <w:link w:val="14"/>
    <w:qFormat/>
    <w:uiPriority w:val="99"/>
    <w:rPr>
      <w:sz w:val="18"/>
      <w:szCs w:val="18"/>
    </w:rPr>
  </w:style>
  <w:style w:type="character" w:customStyle="1" w:styleId="39">
    <w:name w:val="正文文本缩进 3 字符1"/>
    <w:link w:val="18"/>
    <w:qFormat/>
    <w:uiPriority w:val="0"/>
    <w:rPr>
      <w:rFonts w:ascii="仿宋_GB2312" w:hAnsi="宋体" w:eastAsia="仿宋_GB2312" w:cs="Arial"/>
      <w:color w:val="000000"/>
      <w:sz w:val="24"/>
      <w:szCs w:val="24"/>
    </w:rPr>
  </w:style>
  <w:style w:type="character" w:customStyle="1" w:styleId="40">
    <w:name w:val="HTML 预设格式 字符1"/>
    <w:link w:val="21"/>
    <w:qFormat/>
    <w:uiPriority w:val="99"/>
    <w:rPr>
      <w:rFonts w:ascii="宋体" w:hAnsi="宋体" w:eastAsia="宋体" w:cs="宋体"/>
      <w:kern w:val="0"/>
      <w:sz w:val="24"/>
      <w:szCs w:val="24"/>
    </w:rPr>
  </w:style>
  <w:style w:type="character" w:customStyle="1" w:styleId="41">
    <w:name w:val="批注主题 字符1"/>
    <w:link w:val="23"/>
    <w:qFormat/>
    <w:uiPriority w:val="0"/>
    <w:rPr>
      <w:rFonts w:ascii="Times New Roman" w:hAnsi="Times New Roman" w:eastAsia="宋体" w:cs="Times New Roman"/>
      <w:b/>
      <w:bCs/>
      <w:szCs w:val="24"/>
    </w:rPr>
  </w:style>
  <w:style w:type="character" w:customStyle="1" w:styleId="42">
    <w:name w:val="批注文字 字符1"/>
    <w:qFormat/>
    <w:uiPriority w:val="0"/>
    <w:rPr>
      <w:rFonts w:ascii="Times New Roman" w:hAnsi="Times New Roman" w:eastAsia="宋体" w:cs="Times New Roman"/>
      <w:szCs w:val="24"/>
    </w:rPr>
  </w:style>
  <w:style w:type="character" w:customStyle="1" w:styleId="43">
    <w:name w:val="标题 2 字符"/>
    <w:semiHidden/>
    <w:qFormat/>
    <w:uiPriority w:val="9"/>
    <w:rPr>
      <w:rFonts w:ascii="等线 Light" w:hAnsi="等线 Light" w:eastAsia="等线 Light" w:cs="Times New Roman"/>
      <w:b/>
      <w:bCs/>
      <w:sz w:val="32"/>
      <w:szCs w:val="32"/>
    </w:rPr>
  </w:style>
  <w:style w:type="character" w:customStyle="1" w:styleId="44">
    <w:name w:val="正文文本缩进 3 字符"/>
    <w:semiHidden/>
    <w:qFormat/>
    <w:uiPriority w:val="99"/>
    <w:rPr>
      <w:rFonts w:ascii="Times New Roman" w:hAnsi="Times New Roman" w:eastAsia="宋体" w:cs="Times New Roman"/>
      <w:sz w:val="16"/>
      <w:szCs w:val="16"/>
    </w:rPr>
  </w:style>
  <w:style w:type="character" w:customStyle="1" w:styleId="45">
    <w:name w:val="正文文本缩进 字符"/>
    <w:semiHidden/>
    <w:qFormat/>
    <w:uiPriority w:val="99"/>
    <w:rPr>
      <w:rFonts w:ascii="Times New Roman" w:hAnsi="Times New Roman" w:eastAsia="宋体" w:cs="Times New Roman"/>
      <w:szCs w:val="24"/>
    </w:rPr>
  </w:style>
  <w:style w:type="character" w:customStyle="1" w:styleId="46">
    <w:name w:val="批注主题 字符"/>
    <w:semiHidden/>
    <w:qFormat/>
    <w:uiPriority w:val="99"/>
    <w:rPr>
      <w:rFonts w:ascii="Times New Roman" w:hAnsi="Times New Roman" w:eastAsia="宋体" w:cs="Times New Roman"/>
      <w:b/>
      <w:bCs/>
      <w:szCs w:val="24"/>
    </w:rPr>
  </w:style>
  <w:style w:type="character" w:customStyle="1" w:styleId="47">
    <w:name w:val="批注框文本 字符"/>
    <w:semiHidden/>
    <w:qFormat/>
    <w:uiPriority w:val="99"/>
    <w:rPr>
      <w:rFonts w:ascii="Times New Roman" w:hAnsi="Times New Roman" w:eastAsia="宋体" w:cs="Times New Roman"/>
      <w:sz w:val="18"/>
      <w:szCs w:val="18"/>
    </w:rPr>
  </w:style>
  <w:style w:type="character" w:customStyle="1" w:styleId="48">
    <w:name w:val="批注文字 Char1"/>
    <w:qFormat/>
    <w:uiPriority w:val="0"/>
    <w:rPr>
      <w:rFonts w:ascii="Times New Roman" w:hAnsi="Times New Roman" w:eastAsia="宋体" w:cs="Times New Roman"/>
      <w:szCs w:val="24"/>
    </w:rPr>
  </w:style>
  <w:style w:type="character" w:customStyle="1" w:styleId="49">
    <w:name w:val="批注文字 字符"/>
    <w:semiHidden/>
    <w:qFormat/>
    <w:uiPriority w:val="0"/>
    <w:rPr>
      <w:rFonts w:ascii="Times New Roman" w:hAnsi="Times New Roman" w:eastAsia="宋体" w:cs="Times New Roman"/>
      <w:szCs w:val="24"/>
    </w:rPr>
  </w:style>
  <w:style w:type="character" w:customStyle="1" w:styleId="50">
    <w:name w:val="read"/>
    <w:qFormat/>
    <w:uiPriority w:val="0"/>
  </w:style>
  <w:style w:type="character" w:customStyle="1" w:styleId="51">
    <w:name w:val="HTML 预设格式 字符"/>
    <w:semiHidden/>
    <w:qFormat/>
    <w:uiPriority w:val="99"/>
    <w:rPr>
      <w:rFonts w:ascii="Courier New" w:hAnsi="Courier New" w:eastAsia="宋体" w:cs="Courier New"/>
      <w:sz w:val="20"/>
      <w:szCs w:val="20"/>
    </w:rPr>
  </w:style>
  <w:style w:type="character" w:customStyle="1" w:styleId="52">
    <w:name w:val="正文文本缩进 2 字符"/>
    <w:semiHidden/>
    <w:qFormat/>
    <w:uiPriority w:val="99"/>
    <w:rPr>
      <w:rFonts w:ascii="Times New Roman" w:hAnsi="Times New Roman" w:eastAsia="宋体" w:cs="Times New Roman"/>
      <w:szCs w:val="24"/>
    </w:rPr>
  </w:style>
  <w:style w:type="character" w:customStyle="1" w:styleId="53">
    <w:name w:val="页脚 Char"/>
    <w:qFormat/>
    <w:uiPriority w:val="99"/>
    <w:rPr>
      <w:sz w:val="18"/>
      <w:szCs w:val="18"/>
    </w:rPr>
  </w:style>
  <w:style w:type="character" w:customStyle="1" w:styleId="54">
    <w:name w:val="页眉 Char"/>
    <w:qFormat/>
    <w:uiPriority w:val="99"/>
    <w:rPr>
      <w:sz w:val="18"/>
      <w:szCs w:val="18"/>
    </w:rPr>
  </w:style>
  <w:style w:type="character" w:customStyle="1" w:styleId="55">
    <w:name w:val="正文文本 字符"/>
    <w:semiHidden/>
    <w:qFormat/>
    <w:uiPriority w:val="99"/>
    <w:rPr>
      <w:rFonts w:ascii="Times New Roman" w:hAnsi="Times New Roman" w:eastAsia="宋体" w:cs="Times New Roman"/>
      <w:szCs w:val="24"/>
    </w:rPr>
  </w:style>
  <w:style w:type="paragraph" w:customStyle="1" w:styleId="56">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paragraph" w:customStyle="1" w:styleId="57">
    <w:name w:val="Char Char Char"/>
    <w:basedOn w:val="1"/>
    <w:qFormat/>
    <w:uiPriority w:val="0"/>
  </w:style>
  <w:style w:type="paragraph" w:customStyle="1" w:styleId="58">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59">
    <w:name w:val="Char Char"/>
    <w:basedOn w:val="1"/>
    <w:qFormat/>
    <w:uiPriority w:val="0"/>
    <w:rPr>
      <w:szCs w:val="20"/>
    </w:rPr>
  </w:style>
  <w:style w:type="paragraph" w:customStyle="1" w:styleId="60">
    <w:name w:val="Char"/>
    <w:basedOn w:val="1"/>
    <w:qFormat/>
    <w:uiPriority w:val="0"/>
  </w:style>
  <w:style w:type="paragraph" w:customStyle="1" w:styleId="61">
    <w:name w:val="_Style 60"/>
    <w:semiHidden/>
    <w:qFormat/>
    <w:uiPriority w:val="99"/>
    <w:rPr>
      <w:rFonts w:ascii="Times New Roman" w:hAnsi="Times New Roman" w:eastAsia="宋体" w:cs="Calibri"/>
      <w:kern w:val="2"/>
      <w:sz w:val="21"/>
      <w:szCs w:val="24"/>
      <w:lang w:val="en-US" w:eastAsia="zh-CN" w:bidi="ar-SA"/>
    </w:rPr>
  </w:style>
  <w:style w:type="paragraph" w:customStyle="1" w:styleId="62">
    <w:name w:val="Char Char Char Char Char Char Char1 Char Char Char Char Char Char"/>
    <w:basedOn w:val="1"/>
    <w:qFormat/>
    <w:uiPriority w:val="0"/>
  </w:style>
  <w:style w:type="character" w:customStyle="1" w:styleId="63">
    <w:name w:val="批注文字 Char2"/>
    <w:qFormat/>
    <w:uiPriority w:val="0"/>
    <w:rPr>
      <w:sz w:val="21"/>
    </w:rPr>
  </w:style>
  <w:style w:type="paragraph" w:customStyle="1" w:styleId="64">
    <w:name w:val="修订1"/>
    <w:hidden/>
    <w:unhideWhenUsed/>
    <w:qFormat/>
    <w:uiPriority w:val="99"/>
    <w:rPr>
      <w:rFonts w:ascii="Times New Roman" w:hAnsi="Times New Roman" w:eastAsia="宋体" w:cs="Calibri"/>
      <w:kern w:val="2"/>
      <w:sz w:val="21"/>
      <w:szCs w:val="24"/>
      <w:lang w:val="en-US" w:eastAsia="zh-CN" w:bidi="ar-SA"/>
    </w:rPr>
  </w:style>
  <w:style w:type="paragraph" w:customStyle="1" w:styleId="65">
    <w:name w:val="Revision"/>
    <w:hidden/>
    <w:unhideWhenUsed/>
    <w:qFormat/>
    <w:uiPriority w:val="99"/>
    <w:rPr>
      <w:rFonts w:ascii="Times New Roman" w:hAnsi="Times New Roman"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33531</Words>
  <Characters>34006</Characters>
  <Lines>255</Lines>
  <Paragraphs>71</Paragraphs>
  <TotalTime>30</TotalTime>
  <ScaleCrop>false</ScaleCrop>
  <LinksUpToDate>false</LinksUpToDate>
  <CharactersWithSpaces>34189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2025-09-26T07:07:00Z</dcterms:created>
  <dc:creator>wangkexin</dc:creator>
  <cp:lastModifiedBy>wkx1124</cp:lastModifiedBy>
  <dcterms:modified xsi:type="dcterms:W3CDTF">2025-11-27T03:25:13Z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26E9BF237A4C4794BD96885C7176AD8C</vt:lpwstr>
  </property>
</Properties>
</file>