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05499" w:rsidRPr="00F0549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“乾元-私享”2020年第152期私人银行人民币理财产品</w:t>
      </w:r>
      <w:r w:rsidR="001E2C9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05499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05499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“乾元-私享”2020年第152期私人银行人民币理财产品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C3CEC">
        <w:rPr>
          <w:rFonts w:asciiTheme="minorEastAsia" w:eastAsiaTheme="minorEastAsia" w:hAnsiTheme="minor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A50B47">
        <w:rPr>
          <w:rFonts w:asciiTheme="minorEastAsia" w:eastAsiaTheme="minorEastAsia" w:hAnsiTheme="minorEastAsia"/>
          <w:color w:val="000000"/>
          <w:sz w:val="28"/>
          <w:szCs w:val="28"/>
        </w:rPr>
        <w:t>22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9B7854">
        <w:rPr>
          <w:rFonts w:asciiTheme="minorEastAsia" w:eastAsiaTheme="minorEastAsia" w:hAnsiTheme="minorEastAsia"/>
          <w:color w:val="000000"/>
          <w:sz w:val="28"/>
          <w:szCs w:val="28"/>
        </w:rPr>
        <w:t>9990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89205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198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89205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3.55%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401"/>
        <w:gridCol w:w="1400"/>
        <w:gridCol w:w="1401"/>
        <w:gridCol w:w="1308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05499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5499">
              <w:rPr>
                <w:rFonts w:asciiTheme="minorEastAsia" w:eastAsiaTheme="minorEastAsia" w:hAnsiTheme="minorEastAsia" w:hint="eastAsia"/>
                <w:szCs w:val="21"/>
              </w:rPr>
              <w:t>“乾元-私享”2020年第152期私人银行人民币理财产品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2E4511" w:rsidP="0071242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</w:t>
            </w:r>
            <w:r w:rsidR="0071242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17</w:t>
            </w:r>
          </w:p>
        </w:tc>
        <w:tc>
          <w:tcPr>
            <w:tcW w:w="1417" w:type="dxa"/>
            <w:vAlign w:val="center"/>
          </w:tcPr>
          <w:p w:rsidR="00E31B0A" w:rsidRPr="00E31B0A" w:rsidRDefault="002E4511" w:rsidP="0071242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</w:t>
            </w:r>
            <w:r w:rsidR="0071242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E31B0A" w:rsidRPr="00E31B0A" w:rsidRDefault="002E4511" w:rsidP="0071242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</w:t>
            </w:r>
            <w:r w:rsidR="0071242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 w:rsidR="00E31B0A" w:rsidRPr="00E31B0A" w:rsidRDefault="002E4511" w:rsidP="0089205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</w:t>
            </w:r>
            <w:r w:rsidR="008920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8A00D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8A00D1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8A00D1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B7854">
              <w:rPr>
                <w:rFonts w:ascii="宋体" w:hAnsi="宋体" w:cs="宋体"/>
                <w:kern w:val="0"/>
              </w:rPr>
              <w:t>50954454.78</w:t>
            </w:r>
          </w:p>
        </w:tc>
        <w:tc>
          <w:tcPr>
            <w:tcW w:w="1598" w:type="dxa"/>
            <w:vAlign w:val="center"/>
          </w:tcPr>
          <w:p w:rsidR="008A00D1" w:rsidRPr="002E75ED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A00D1">
              <w:rPr>
                <w:rFonts w:ascii="宋体" w:hAnsi="宋体" w:cs="宋体"/>
                <w:kern w:val="0"/>
              </w:rPr>
              <w:t>50.19%</w:t>
            </w:r>
          </w:p>
        </w:tc>
        <w:tc>
          <w:tcPr>
            <w:tcW w:w="1662" w:type="dxa"/>
            <w:vAlign w:val="center"/>
          </w:tcPr>
          <w:p w:rsidR="008A00D1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B7854">
              <w:rPr>
                <w:rFonts w:ascii="宋体" w:hAnsi="宋体" w:cs="宋体"/>
                <w:kern w:val="0"/>
              </w:rPr>
              <w:t>50954454.78</w:t>
            </w:r>
          </w:p>
        </w:tc>
        <w:tc>
          <w:tcPr>
            <w:tcW w:w="1598" w:type="dxa"/>
            <w:vAlign w:val="center"/>
          </w:tcPr>
          <w:p w:rsidR="008A00D1" w:rsidRPr="002E75ED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A00D1">
              <w:rPr>
                <w:rFonts w:ascii="宋体" w:hAnsi="宋体" w:cs="宋体"/>
                <w:kern w:val="0"/>
              </w:rPr>
              <w:t>50.19%</w:t>
            </w:r>
          </w:p>
        </w:tc>
      </w:tr>
      <w:tr w:rsidR="008A00D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8A00D1" w:rsidRPr="0023270C" w:rsidRDefault="006B2576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B2576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8A00D1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A00D1">
              <w:rPr>
                <w:rFonts w:ascii="宋体" w:hAnsi="宋体" w:cs="宋体"/>
                <w:kern w:val="0"/>
              </w:rPr>
              <w:t>50560437.5</w:t>
            </w:r>
          </w:p>
        </w:tc>
        <w:tc>
          <w:tcPr>
            <w:tcW w:w="1598" w:type="dxa"/>
            <w:vAlign w:val="center"/>
          </w:tcPr>
          <w:p w:rsidR="008A00D1" w:rsidRPr="002E75ED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A00D1">
              <w:rPr>
                <w:rFonts w:ascii="宋体" w:hAnsi="宋体" w:cs="宋体"/>
                <w:kern w:val="0"/>
              </w:rPr>
              <w:t>49.81%</w:t>
            </w:r>
          </w:p>
        </w:tc>
        <w:tc>
          <w:tcPr>
            <w:tcW w:w="1662" w:type="dxa"/>
            <w:vAlign w:val="center"/>
          </w:tcPr>
          <w:p w:rsidR="008A00D1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A00D1">
              <w:rPr>
                <w:rFonts w:ascii="宋体" w:hAnsi="宋体" w:cs="宋体"/>
                <w:kern w:val="0"/>
              </w:rPr>
              <w:t>50560437.5</w:t>
            </w:r>
          </w:p>
        </w:tc>
        <w:tc>
          <w:tcPr>
            <w:tcW w:w="1598" w:type="dxa"/>
            <w:vAlign w:val="center"/>
          </w:tcPr>
          <w:p w:rsidR="008A00D1" w:rsidRPr="002E75ED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A00D1">
              <w:rPr>
                <w:rFonts w:ascii="宋体" w:hAnsi="宋体" w:cs="宋体"/>
                <w:kern w:val="0"/>
              </w:rPr>
              <w:t>49.81%</w:t>
            </w:r>
          </w:p>
        </w:tc>
      </w:tr>
      <w:tr w:rsidR="008A00D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8A00D1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8A00D1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A00D1">
              <w:rPr>
                <w:rFonts w:ascii="宋体" w:hAnsi="宋体" w:cs="宋体"/>
                <w:kern w:val="0"/>
              </w:rPr>
              <w:t>101514892.3</w:t>
            </w:r>
          </w:p>
        </w:tc>
        <w:tc>
          <w:tcPr>
            <w:tcW w:w="1598" w:type="dxa"/>
            <w:vAlign w:val="center"/>
          </w:tcPr>
          <w:p w:rsidR="008A00D1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662" w:type="dxa"/>
            <w:vAlign w:val="center"/>
          </w:tcPr>
          <w:p w:rsidR="008A00D1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A00D1">
              <w:rPr>
                <w:rFonts w:ascii="宋体" w:hAnsi="宋体" w:cs="宋体"/>
                <w:kern w:val="0"/>
              </w:rPr>
              <w:t>101514892.3</w:t>
            </w:r>
          </w:p>
        </w:tc>
        <w:tc>
          <w:tcPr>
            <w:tcW w:w="1598" w:type="dxa"/>
            <w:vAlign w:val="center"/>
          </w:tcPr>
          <w:p w:rsidR="008A00D1" w:rsidRDefault="008A00D1" w:rsidP="008A00D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3563"/>
        <w:gridCol w:w="1782"/>
        <w:gridCol w:w="1718"/>
      </w:tblGrid>
      <w:tr w:rsidR="005204A8" w:rsidRPr="00437C59" w:rsidTr="00426880">
        <w:trPr>
          <w:trHeight w:val="589"/>
          <w:jc w:val="center"/>
        </w:trPr>
        <w:tc>
          <w:tcPr>
            <w:tcW w:w="1233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3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1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426880" w:rsidRPr="00437C59" w:rsidTr="00426880">
        <w:trPr>
          <w:trHeight w:val="589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63" w:type="dxa"/>
            <w:vAlign w:val="center"/>
          </w:tcPr>
          <w:p w:rsidR="00426880" w:rsidRPr="00ED1412" w:rsidRDefault="00B802AC" w:rsidP="00426880">
            <w:pPr>
              <w:jc w:val="center"/>
              <w:rPr>
                <w:rFonts w:asciiTheme="minorEastAsia" w:eastAsiaTheme="minorEastAsia" w:hAnsiTheme="minorEastAsia"/>
              </w:rPr>
            </w:pPr>
            <w:r w:rsidRPr="00B802AC">
              <w:rPr>
                <w:rFonts w:asciiTheme="minorEastAsia" w:eastAsiaTheme="minorEastAsia" w:hAnsiTheme="minorEastAsia" w:hint="eastAsia"/>
              </w:rPr>
              <w:t>18赣抚州发投EB001</w:t>
            </w:r>
          </w:p>
        </w:tc>
        <w:tc>
          <w:tcPr>
            <w:tcW w:w="1782" w:type="dxa"/>
            <w:vAlign w:val="center"/>
          </w:tcPr>
          <w:p w:rsidR="00426880" w:rsidRDefault="00B802AC" w:rsidP="0042688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50560437.5</w:t>
            </w:r>
          </w:p>
        </w:tc>
        <w:tc>
          <w:tcPr>
            <w:tcW w:w="1718" w:type="dxa"/>
            <w:vAlign w:val="center"/>
          </w:tcPr>
          <w:p w:rsidR="00426880" w:rsidRPr="002E75ED" w:rsidRDefault="00823B21" w:rsidP="0042688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8A00D1">
              <w:rPr>
                <w:rFonts w:ascii="宋体" w:hAnsi="宋体" w:cs="宋体"/>
                <w:kern w:val="0"/>
              </w:rPr>
              <w:t>49.81%</w:t>
            </w: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C53F6B" w:rsidRPr="00C720CE" w:rsidRDefault="00C53F6B" w:rsidP="00C53F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960B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63" w:type="dxa"/>
            <w:vAlign w:val="center"/>
          </w:tcPr>
          <w:p w:rsidR="00426880" w:rsidRPr="00830858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830858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9B7854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9B7854">
              <w:rPr>
                <w:rFonts w:ascii="宋体" w:hAnsi="宋体" w:cs="宋体"/>
                <w:kern w:val="0"/>
              </w:rPr>
              <w:t>44050186320100001363-1188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1E2C9E" w:rsidRDefault="001E2C9E" w:rsidP="001E2C9E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F05499" w:rsidP="005204A8">
      <w:pPr>
        <w:jc w:val="center"/>
        <w:rPr>
          <w:b/>
          <w:color w:val="000000"/>
          <w:sz w:val="24"/>
          <w:szCs w:val="24"/>
        </w:rPr>
      </w:pPr>
      <w:r w:rsidRPr="00F05499">
        <w:rPr>
          <w:rFonts w:hint="eastAsia"/>
          <w:b/>
          <w:color w:val="000000"/>
          <w:sz w:val="24"/>
          <w:szCs w:val="24"/>
        </w:rPr>
        <w:t>“乾元</w:t>
      </w:r>
      <w:r w:rsidRPr="00F05499">
        <w:rPr>
          <w:rFonts w:hint="eastAsia"/>
          <w:b/>
          <w:color w:val="000000"/>
          <w:sz w:val="24"/>
          <w:szCs w:val="24"/>
        </w:rPr>
        <w:t>-</w:t>
      </w:r>
      <w:r w:rsidRPr="00F05499">
        <w:rPr>
          <w:rFonts w:hint="eastAsia"/>
          <w:b/>
          <w:color w:val="000000"/>
          <w:sz w:val="24"/>
          <w:szCs w:val="24"/>
        </w:rPr>
        <w:t>私享”</w:t>
      </w:r>
      <w:r w:rsidRPr="00F05499">
        <w:rPr>
          <w:rFonts w:hint="eastAsia"/>
          <w:b/>
          <w:color w:val="000000"/>
          <w:sz w:val="24"/>
          <w:szCs w:val="24"/>
        </w:rPr>
        <w:t>2020</w:t>
      </w:r>
      <w:r w:rsidRPr="00F05499">
        <w:rPr>
          <w:rFonts w:hint="eastAsia"/>
          <w:b/>
          <w:color w:val="000000"/>
          <w:sz w:val="24"/>
          <w:szCs w:val="24"/>
        </w:rPr>
        <w:t>年第</w:t>
      </w:r>
      <w:r w:rsidRPr="00F05499">
        <w:rPr>
          <w:rFonts w:hint="eastAsia"/>
          <w:b/>
          <w:color w:val="000000"/>
          <w:sz w:val="24"/>
          <w:szCs w:val="24"/>
        </w:rPr>
        <w:t>152</w:t>
      </w:r>
      <w:r w:rsidRPr="00F05499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F05499" w:rsidRPr="00F05499">
        <w:rPr>
          <w:rFonts w:ascii="宋体" w:hAnsi="宋体" w:hint="eastAsia"/>
          <w:color w:val="000000"/>
          <w:szCs w:val="21"/>
        </w:rPr>
        <w:t>“乾元-私享”2020年第152期私人银行人民币理财产品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823B21">
        <w:trPr>
          <w:trHeight w:val="466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823B21" w:rsidP="00354859">
            <w:pPr>
              <w:jc w:val="center"/>
            </w:pPr>
            <w:r w:rsidRPr="00823B21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F9529C" w:rsidP="00354859">
            <w:pPr>
              <w:jc w:val="center"/>
            </w:pPr>
            <w:r w:rsidRPr="00F9529C">
              <w:rPr>
                <w:rFonts w:hint="eastAsia"/>
              </w:rPr>
              <w:t>抚州高新区发展投资集团有限公司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465D0" w:rsidRDefault="00823B21" w:rsidP="00541AE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23B21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18赣抚州发投EB001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F9529C" w:rsidP="00354859">
            <w:pPr>
              <w:jc w:val="center"/>
            </w:pPr>
            <w:r>
              <w:t>2601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77976" w:rsidP="0035485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p w:rsidR="002E4511" w:rsidRPr="005204A8" w:rsidRDefault="002E4511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2E4511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13C" w:rsidRDefault="00D1713C" w:rsidP="00747E15">
      <w:r>
        <w:separator/>
      </w:r>
    </w:p>
  </w:endnote>
  <w:endnote w:type="continuationSeparator" w:id="0">
    <w:p w:rsidR="00D1713C" w:rsidRDefault="00D1713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13C" w:rsidRDefault="00D1713C" w:rsidP="00747E15">
      <w:r>
        <w:separator/>
      </w:r>
    </w:p>
  </w:footnote>
  <w:footnote w:type="continuationSeparator" w:id="0">
    <w:p w:rsidR="00D1713C" w:rsidRDefault="00D1713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13EF7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36594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2C9E"/>
    <w:rsid w:val="001E60BC"/>
    <w:rsid w:val="001E70EA"/>
    <w:rsid w:val="001F3D33"/>
    <w:rsid w:val="001F4173"/>
    <w:rsid w:val="001F5981"/>
    <w:rsid w:val="002003A1"/>
    <w:rsid w:val="00204E9E"/>
    <w:rsid w:val="00206C50"/>
    <w:rsid w:val="00212278"/>
    <w:rsid w:val="00213FFE"/>
    <w:rsid w:val="00215713"/>
    <w:rsid w:val="00225A63"/>
    <w:rsid w:val="0023270C"/>
    <w:rsid w:val="00233ACD"/>
    <w:rsid w:val="00237CF2"/>
    <w:rsid w:val="00240A06"/>
    <w:rsid w:val="00241317"/>
    <w:rsid w:val="00245012"/>
    <w:rsid w:val="002518F9"/>
    <w:rsid w:val="0025384F"/>
    <w:rsid w:val="00264E8C"/>
    <w:rsid w:val="00266DC8"/>
    <w:rsid w:val="00271FBD"/>
    <w:rsid w:val="00272D45"/>
    <w:rsid w:val="002767A0"/>
    <w:rsid w:val="00281EA2"/>
    <w:rsid w:val="00286C46"/>
    <w:rsid w:val="00292733"/>
    <w:rsid w:val="002974F6"/>
    <w:rsid w:val="002A0C80"/>
    <w:rsid w:val="002A68DF"/>
    <w:rsid w:val="002B1B4E"/>
    <w:rsid w:val="002D029C"/>
    <w:rsid w:val="002E4511"/>
    <w:rsid w:val="002E75ED"/>
    <w:rsid w:val="002F02E2"/>
    <w:rsid w:val="002F21B2"/>
    <w:rsid w:val="00305DE3"/>
    <w:rsid w:val="00326849"/>
    <w:rsid w:val="00332886"/>
    <w:rsid w:val="00333409"/>
    <w:rsid w:val="003465D0"/>
    <w:rsid w:val="003469B0"/>
    <w:rsid w:val="00346C2E"/>
    <w:rsid w:val="00354859"/>
    <w:rsid w:val="003729DF"/>
    <w:rsid w:val="00373677"/>
    <w:rsid w:val="00391998"/>
    <w:rsid w:val="0039500D"/>
    <w:rsid w:val="003B5CC6"/>
    <w:rsid w:val="003C577A"/>
    <w:rsid w:val="003C6C1B"/>
    <w:rsid w:val="003D3F6C"/>
    <w:rsid w:val="003E0232"/>
    <w:rsid w:val="003E4D8B"/>
    <w:rsid w:val="00404027"/>
    <w:rsid w:val="004118B6"/>
    <w:rsid w:val="00413C13"/>
    <w:rsid w:val="00417D2B"/>
    <w:rsid w:val="004215A5"/>
    <w:rsid w:val="00425F4B"/>
    <w:rsid w:val="00426880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33438"/>
    <w:rsid w:val="00541AE5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43BB"/>
    <w:rsid w:val="006350AB"/>
    <w:rsid w:val="006365B5"/>
    <w:rsid w:val="00637ADC"/>
    <w:rsid w:val="00657E0A"/>
    <w:rsid w:val="006761CD"/>
    <w:rsid w:val="00683060"/>
    <w:rsid w:val="00690080"/>
    <w:rsid w:val="00691D50"/>
    <w:rsid w:val="00696A6C"/>
    <w:rsid w:val="006B0FB5"/>
    <w:rsid w:val="006B2576"/>
    <w:rsid w:val="006B7D67"/>
    <w:rsid w:val="006C418D"/>
    <w:rsid w:val="006D1B33"/>
    <w:rsid w:val="006D216F"/>
    <w:rsid w:val="006D509E"/>
    <w:rsid w:val="006F03B9"/>
    <w:rsid w:val="006F51AA"/>
    <w:rsid w:val="00712420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23B21"/>
    <w:rsid w:val="00842AD9"/>
    <w:rsid w:val="00844195"/>
    <w:rsid w:val="00852D7B"/>
    <w:rsid w:val="00855DF8"/>
    <w:rsid w:val="0088235C"/>
    <w:rsid w:val="00887E97"/>
    <w:rsid w:val="00890597"/>
    <w:rsid w:val="0089205A"/>
    <w:rsid w:val="008945EA"/>
    <w:rsid w:val="008A00D1"/>
    <w:rsid w:val="008A3209"/>
    <w:rsid w:val="008A64AD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095C"/>
    <w:rsid w:val="009331AC"/>
    <w:rsid w:val="00941557"/>
    <w:rsid w:val="00957B5C"/>
    <w:rsid w:val="00960A76"/>
    <w:rsid w:val="00960B37"/>
    <w:rsid w:val="00961315"/>
    <w:rsid w:val="0096155A"/>
    <w:rsid w:val="0096707E"/>
    <w:rsid w:val="00976495"/>
    <w:rsid w:val="00985B43"/>
    <w:rsid w:val="009863CD"/>
    <w:rsid w:val="0099268F"/>
    <w:rsid w:val="00992C67"/>
    <w:rsid w:val="00994651"/>
    <w:rsid w:val="009A0441"/>
    <w:rsid w:val="009A1E28"/>
    <w:rsid w:val="009A24AC"/>
    <w:rsid w:val="009B7854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16F19"/>
    <w:rsid w:val="00A20C0F"/>
    <w:rsid w:val="00A22C1A"/>
    <w:rsid w:val="00A25D53"/>
    <w:rsid w:val="00A450C1"/>
    <w:rsid w:val="00A4578C"/>
    <w:rsid w:val="00A50115"/>
    <w:rsid w:val="00A50B47"/>
    <w:rsid w:val="00A66F45"/>
    <w:rsid w:val="00A722CE"/>
    <w:rsid w:val="00A735E4"/>
    <w:rsid w:val="00AB53D1"/>
    <w:rsid w:val="00AC0790"/>
    <w:rsid w:val="00AC12D7"/>
    <w:rsid w:val="00AC4359"/>
    <w:rsid w:val="00AC7905"/>
    <w:rsid w:val="00AC7CDE"/>
    <w:rsid w:val="00AD558F"/>
    <w:rsid w:val="00AD5E04"/>
    <w:rsid w:val="00AE2DA2"/>
    <w:rsid w:val="00AF1825"/>
    <w:rsid w:val="00B020F5"/>
    <w:rsid w:val="00B15284"/>
    <w:rsid w:val="00B24ABF"/>
    <w:rsid w:val="00B33523"/>
    <w:rsid w:val="00B4205F"/>
    <w:rsid w:val="00B42469"/>
    <w:rsid w:val="00B44FB5"/>
    <w:rsid w:val="00B466B4"/>
    <w:rsid w:val="00B71F10"/>
    <w:rsid w:val="00B802AC"/>
    <w:rsid w:val="00B93E97"/>
    <w:rsid w:val="00BA1DB8"/>
    <w:rsid w:val="00BA58F5"/>
    <w:rsid w:val="00BB248B"/>
    <w:rsid w:val="00BC3C60"/>
    <w:rsid w:val="00BC3CEC"/>
    <w:rsid w:val="00BC6C87"/>
    <w:rsid w:val="00BD5D9D"/>
    <w:rsid w:val="00BE070B"/>
    <w:rsid w:val="00BE1EDD"/>
    <w:rsid w:val="00BE406D"/>
    <w:rsid w:val="00BE6A47"/>
    <w:rsid w:val="00BF33D1"/>
    <w:rsid w:val="00BF403D"/>
    <w:rsid w:val="00BF7077"/>
    <w:rsid w:val="00C118E8"/>
    <w:rsid w:val="00C257ED"/>
    <w:rsid w:val="00C407D4"/>
    <w:rsid w:val="00C536AE"/>
    <w:rsid w:val="00C53F6B"/>
    <w:rsid w:val="00C56170"/>
    <w:rsid w:val="00C561DF"/>
    <w:rsid w:val="00C61B7B"/>
    <w:rsid w:val="00C61D5F"/>
    <w:rsid w:val="00C6235D"/>
    <w:rsid w:val="00C720CE"/>
    <w:rsid w:val="00C73436"/>
    <w:rsid w:val="00C80AC6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1713C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014F"/>
    <w:rsid w:val="00DF32AC"/>
    <w:rsid w:val="00E14BF7"/>
    <w:rsid w:val="00E17E29"/>
    <w:rsid w:val="00E24F4A"/>
    <w:rsid w:val="00E27018"/>
    <w:rsid w:val="00E31B0A"/>
    <w:rsid w:val="00E353E1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C58C0"/>
    <w:rsid w:val="00ED1412"/>
    <w:rsid w:val="00ED276F"/>
    <w:rsid w:val="00EF28D6"/>
    <w:rsid w:val="00F00768"/>
    <w:rsid w:val="00F05499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9529C"/>
    <w:rsid w:val="00FA0B51"/>
    <w:rsid w:val="00FB2BDB"/>
    <w:rsid w:val="00FB471A"/>
    <w:rsid w:val="00FB4CFE"/>
    <w:rsid w:val="00FB537F"/>
    <w:rsid w:val="00FB5E90"/>
    <w:rsid w:val="00FB7F1F"/>
    <w:rsid w:val="00FD1801"/>
    <w:rsid w:val="00FD2F9B"/>
    <w:rsid w:val="00FD45CC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48</cp:revision>
  <cp:lastPrinted>2020-12-30T10:28:00Z</cp:lastPrinted>
  <dcterms:created xsi:type="dcterms:W3CDTF">2021-02-02T11:48:00Z</dcterms:created>
  <dcterms:modified xsi:type="dcterms:W3CDTF">2021-03-02T02:38:00Z</dcterms:modified>
</cp:coreProperties>
</file>