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B570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“乾元-私享”2020年第132期私人银行人民币理财产品</w:t>
      </w:r>
      <w:r w:rsidR="00EC701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5B570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“乾元-私享”2020年第132期私人银行人民币理财产品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2020年</w:t>
      </w:r>
      <w:r w:rsidR="008347E9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5B570C">
        <w:rPr>
          <w:rFonts w:asciiTheme="minorEastAsia" w:eastAsiaTheme="minorEastAsia" w:hAnsiTheme="minorEastAsia"/>
          <w:color w:val="000000"/>
          <w:sz w:val="28"/>
          <w:szCs w:val="28"/>
        </w:rPr>
        <w:t>30,000.00</w:t>
      </w:r>
      <w:r w:rsidR="008347E9">
        <w:rPr>
          <w:rFonts w:asciiTheme="minorEastAsia" w:eastAsiaTheme="minorEastAsia" w:hAnsiTheme="minorEastAsia"/>
          <w:color w:val="000000"/>
          <w:sz w:val="28"/>
          <w:szCs w:val="28"/>
        </w:rPr>
        <w:t>万元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5B570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231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8347E9" w:rsidP="004A21E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 w:rsidR="005B570C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55</w:t>
            </w:r>
            <w:r w:rsidR="008F7084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401"/>
        <w:gridCol w:w="1400"/>
        <w:gridCol w:w="1401"/>
        <w:gridCol w:w="1308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5B570C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“乾元-私享”2020年第132期私人银行人民币理财产品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6421E5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421E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2020/8/17</w:t>
            </w:r>
          </w:p>
        </w:tc>
        <w:tc>
          <w:tcPr>
            <w:tcW w:w="1417" w:type="dxa"/>
            <w:vAlign w:val="center"/>
          </w:tcPr>
          <w:p w:rsidR="00E31B0A" w:rsidRPr="00E31B0A" w:rsidRDefault="006421E5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421E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2020/8/19</w:t>
            </w:r>
          </w:p>
        </w:tc>
        <w:tc>
          <w:tcPr>
            <w:tcW w:w="1418" w:type="dxa"/>
            <w:vAlign w:val="center"/>
          </w:tcPr>
          <w:p w:rsidR="00E31B0A" w:rsidRPr="00E31B0A" w:rsidRDefault="006421E5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421E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2020/8/20</w:t>
            </w:r>
          </w:p>
        </w:tc>
        <w:tc>
          <w:tcPr>
            <w:tcW w:w="1326" w:type="dxa"/>
            <w:vAlign w:val="center"/>
          </w:tcPr>
          <w:p w:rsidR="00E31B0A" w:rsidRPr="00E31B0A" w:rsidRDefault="006421E5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421E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1559"/>
        <w:gridCol w:w="1701"/>
        <w:gridCol w:w="1559"/>
      </w:tblGrid>
      <w:tr w:rsidR="005204A8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CA2D3F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01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A2D3F">
              <w:rPr>
                <w:rFonts w:ascii="宋体" w:hAnsi="宋体" w:cs="宋体"/>
                <w:kern w:val="0"/>
              </w:rPr>
              <w:t>65,160,910.85</w:t>
            </w:r>
          </w:p>
        </w:tc>
        <w:tc>
          <w:tcPr>
            <w:tcW w:w="1559" w:type="dxa"/>
            <w:vAlign w:val="center"/>
          </w:tcPr>
          <w:p w:rsidR="00CA2D3F" w:rsidRPr="002E75ED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20.92%</w:t>
            </w:r>
          </w:p>
        </w:tc>
        <w:tc>
          <w:tcPr>
            <w:tcW w:w="1701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A2D3F">
              <w:rPr>
                <w:rFonts w:ascii="宋体" w:hAnsi="宋体" w:cs="宋体"/>
                <w:kern w:val="0"/>
              </w:rPr>
              <w:t>65,160,910.85</w:t>
            </w:r>
          </w:p>
        </w:tc>
        <w:tc>
          <w:tcPr>
            <w:tcW w:w="1559" w:type="dxa"/>
            <w:vAlign w:val="center"/>
          </w:tcPr>
          <w:p w:rsidR="00CA2D3F" w:rsidRPr="002E75ED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20.92%</w:t>
            </w:r>
          </w:p>
        </w:tc>
      </w:tr>
      <w:tr w:rsidR="00CA2D3F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E64AA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01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A2D3F">
              <w:rPr>
                <w:rFonts w:ascii="宋体" w:hAnsi="宋体" w:cs="宋体"/>
                <w:kern w:val="0"/>
              </w:rPr>
              <w:t>146,580,468.75</w:t>
            </w:r>
          </w:p>
        </w:tc>
        <w:tc>
          <w:tcPr>
            <w:tcW w:w="1559" w:type="dxa"/>
            <w:vAlign w:val="center"/>
          </w:tcPr>
          <w:p w:rsidR="00CA2D3F" w:rsidRPr="002E75ED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47.06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A2D3F">
              <w:rPr>
                <w:rFonts w:ascii="宋体" w:hAnsi="宋体" w:cs="宋体"/>
                <w:kern w:val="0"/>
              </w:rPr>
              <w:t>146,580,468.75</w:t>
            </w:r>
          </w:p>
        </w:tc>
        <w:tc>
          <w:tcPr>
            <w:tcW w:w="1559" w:type="dxa"/>
            <w:vAlign w:val="center"/>
          </w:tcPr>
          <w:p w:rsidR="00CA2D3F" w:rsidRPr="002E75ED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47.06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CA2D3F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:rsidR="00CA2D3F" w:rsidRPr="005E64AA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 w:hint="eastAsia"/>
                <w:kern w:val="0"/>
              </w:rPr>
              <w:t>同业存单</w:t>
            </w:r>
          </w:p>
        </w:tc>
        <w:tc>
          <w:tcPr>
            <w:tcW w:w="1701" w:type="dxa"/>
            <w:vAlign w:val="center"/>
          </w:tcPr>
          <w:p w:rsidR="00CA2D3F" w:rsidRPr="001D7934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A2D3F">
              <w:rPr>
                <w:rFonts w:ascii="宋体" w:hAnsi="宋体" w:cs="宋体"/>
                <w:kern w:val="0"/>
              </w:rPr>
              <w:t>99,703,482.16</w:t>
            </w:r>
          </w:p>
        </w:tc>
        <w:tc>
          <w:tcPr>
            <w:tcW w:w="1559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32.01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:rsidR="00CA2D3F" w:rsidRPr="001D7934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A2D3F">
              <w:rPr>
                <w:rFonts w:ascii="宋体" w:hAnsi="宋体" w:cs="宋体"/>
                <w:kern w:val="0"/>
              </w:rPr>
              <w:t>99,703,482.16</w:t>
            </w:r>
          </w:p>
        </w:tc>
        <w:tc>
          <w:tcPr>
            <w:tcW w:w="1559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32.01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CA2D3F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A2D3F">
              <w:rPr>
                <w:rFonts w:ascii="宋体" w:hAnsi="宋体" w:cs="宋体"/>
                <w:kern w:val="0"/>
              </w:rPr>
              <w:t>311,444,861.76</w:t>
            </w:r>
          </w:p>
        </w:tc>
        <w:tc>
          <w:tcPr>
            <w:tcW w:w="1559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01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A2D3F">
              <w:rPr>
                <w:rFonts w:ascii="宋体" w:hAnsi="宋体" w:cs="宋体"/>
                <w:kern w:val="0"/>
              </w:rPr>
              <w:t>311,444,861.76</w:t>
            </w:r>
          </w:p>
        </w:tc>
        <w:tc>
          <w:tcPr>
            <w:tcW w:w="1559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A2D3F" w:rsidRPr="00437C59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:rsidR="00CA2D3F" w:rsidRDefault="00CA2D3F" w:rsidP="00CA2D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CA2D3F" w:rsidRPr="00ED1412" w:rsidRDefault="00CA2D3F" w:rsidP="00CA2D3F">
            <w:pPr>
              <w:jc w:val="center"/>
              <w:rPr>
                <w:rFonts w:asciiTheme="minorEastAsia" w:eastAsiaTheme="minorEastAsia" w:hAnsiTheme="minorEastAsia"/>
              </w:rPr>
            </w:pPr>
            <w:r w:rsidRPr="00CA2D3F">
              <w:rPr>
                <w:rFonts w:asciiTheme="minorEastAsia" w:eastAsiaTheme="minorEastAsia" w:hAnsiTheme="minorEastAsia" w:hint="eastAsia"/>
              </w:rPr>
              <w:t>18渝化医OB002</w:t>
            </w:r>
          </w:p>
        </w:tc>
        <w:tc>
          <w:tcPr>
            <w:tcW w:w="1785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A2D3F">
              <w:rPr>
                <w:rFonts w:ascii="宋体" w:hAnsi="宋体" w:cs="宋体"/>
                <w:kern w:val="0"/>
              </w:rPr>
              <w:t>146,580,468.75</w:t>
            </w:r>
          </w:p>
        </w:tc>
        <w:tc>
          <w:tcPr>
            <w:tcW w:w="1721" w:type="dxa"/>
            <w:vAlign w:val="center"/>
          </w:tcPr>
          <w:p w:rsidR="00CA2D3F" w:rsidRPr="002E75ED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47.06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CA2D3F" w:rsidRPr="00437C59" w:rsidTr="00014A40">
        <w:trPr>
          <w:trHeight w:val="496"/>
          <w:jc w:val="center"/>
        </w:trPr>
        <w:tc>
          <w:tcPr>
            <w:tcW w:w="1232" w:type="dxa"/>
            <w:vAlign w:val="center"/>
          </w:tcPr>
          <w:p w:rsidR="00CA2D3F" w:rsidRDefault="00CA2D3F" w:rsidP="00CA2D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CA2D3F" w:rsidRPr="00C720CE" w:rsidRDefault="00CA2D3F" w:rsidP="00CA2D3F">
            <w:pPr>
              <w:jc w:val="center"/>
              <w:rPr>
                <w:rFonts w:asciiTheme="minorEastAsia" w:eastAsiaTheme="minorEastAsia" w:hAnsiTheme="minorEastAsia"/>
              </w:rPr>
            </w:pPr>
            <w:r w:rsidRPr="00CA2D3F">
              <w:rPr>
                <w:rFonts w:asciiTheme="minorEastAsia" w:eastAsiaTheme="minorEastAsia" w:hAnsiTheme="minorEastAsia" w:hint="eastAsia"/>
              </w:rPr>
              <w:t>20民生银行CD356</w:t>
            </w:r>
          </w:p>
        </w:tc>
        <w:tc>
          <w:tcPr>
            <w:tcW w:w="1785" w:type="dxa"/>
            <w:vAlign w:val="center"/>
          </w:tcPr>
          <w:p w:rsidR="00CA2D3F" w:rsidRPr="001D7934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A2D3F">
              <w:rPr>
                <w:rFonts w:ascii="宋体" w:hAnsi="宋体" w:cs="宋体"/>
                <w:kern w:val="0"/>
              </w:rPr>
              <w:t>99,703,482.16</w:t>
            </w:r>
          </w:p>
        </w:tc>
        <w:tc>
          <w:tcPr>
            <w:tcW w:w="1721" w:type="dxa"/>
            <w:vAlign w:val="center"/>
          </w:tcPr>
          <w:p w:rsidR="00CA2D3F" w:rsidRDefault="00CA2D3F" w:rsidP="00CA2D3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32.01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</w:t>
      </w:r>
      <w:r w:rsidR="002D0147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E2DA2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2D0147">
        <w:rPr>
          <w:rFonts w:asciiTheme="minorEastAsia" w:eastAsiaTheme="minorEastAsia" w:hAnsiTheme="minorEastAsia" w:hint="eastAsia"/>
          <w:color w:val="000000"/>
          <w:sz w:val="28"/>
          <w:szCs w:val="28"/>
        </w:rPr>
        <w:t>23</w:t>
      </w:r>
      <w:r w:rsidR="00AE2DA2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bookmarkStart w:id="0" w:name="_GoBack"/>
      <w:bookmarkEnd w:id="0"/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B570C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132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C21176" w:rsidRPr="00C21176">
        <w:rPr>
          <w:rFonts w:ascii="宋体" w:hAnsi="宋体" w:hint="eastAsia"/>
          <w:color w:val="000000"/>
          <w:szCs w:val="21"/>
        </w:rPr>
        <w:t>“乾元-私享”</w:t>
      </w:r>
      <w:r w:rsidR="005B570C">
        <w:rPr>
          <w:rFonts w:ascii="宋体" w:hAnsi="宋体" w:hint="eastAsia"/>
          <w:color w:val="000000"/>
          <w:szCs w:val="21"/>
        </w:rPr>
        <w:t>2020年第132期私人银行人民币理财产品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6021A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21A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21A" w:rsidRPr="0056021A" w:rsidRDefault="00C21176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21176">
              <w:rPr>
                <w:rFonts w:asciiTheme="minorEastAsia" w:eastAsiaTheme="minorEastAsia" w:hAnsiTheme="minorEastAsia" w:hint="eastAsia"/>
                <w:color w:val="000000"/>
              </w:rPr>
              <w:t>重庆化医控股(集团)公司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21A" w:rsidRPr="0056021A" w:rsidRDefault="00C21176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21176">
              <w:rPr>
                <w:rFonts w:asciiTheme="minorEastAsia" w:eastAsiaTheme="minorEastAsia" w:hAnsiTheme="minorEastAsia" w:hint="eastAsia"/>
                <w:color w:val="000000"/>
              </w:rPr>
              <w:t>18渝化医OB002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21A" w:rsidRPr="0056021A" w:rsidRDefault="00C21176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1424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21A" w:rsidRDefault="0056021A" w:rsidP="0056021A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B03570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3570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同业存单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3570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中国民生银行股份有限公司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570" w:rsidRPr="0056021A" w:rsidRDefault="00C21176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21176">
              <w:rPr>
                <w:rFonts w:asciiTheme="minorEastAsia" w:eastAsiaTheme="minorEastAsia" w:hAnsiTheme="minorEastAsia" w:hint="eastAsia"/>
                <w:color w:val="000000"/>
              </w:rPr>
              <w:t>20民生银行CD356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3570" w:rsidRPr="0056021A" w:rsidRDefault="00C21176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137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570" w:rsidRDefault="00B03570" w:rsidP="00B03570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F7" w:rsidRDefault="008F42F7" w:rsidP="00747E15">
      <w:r>
        <w:separator/>
      </w:r>
    </w:p>
  </w:endnote>
  <w:endnote w:type="continuationSeparator" w:id="0">
    <w:p w:rsidR="008F42F7" w:rsidRDefault="008F42F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F7" w:rsidRDefault="008F42F7" w:rsidP="00747E15">
      <w:r>
        <w:separator/>
      </w:r>
    </w:p>
  </w:footnote>
  <w:footnote w:type="continuationSeparator" w:id="0">
    <w:p w:rsidR="008F42F7" w:rsidRDefault="008F42F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66841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B3BC4"/>
    <w:rsid w:val="001C207C"/>
    <w:rsid w:val="001C51CC"/>
    <w:rsid w:val="001D4D93"/>
    <w:rsid w:val="001D7934"/>
    <w:rsid w:val="001E0ABA"/>
    <w:rsid w:val="001E0BAC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147"/>
    <w:rsid w:val="002D029C"/>
    <w:rsid w:val="002E6D1E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1E1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6021A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B570C"/>
    <w:rsid w:val="005C491D"/>
    <w:rsid w:val="005D075A"/>
    <w:rsid w:val="005E1AF9"/>
    <w:rsid w:val="005E2277"/>
    <w:rsid w:val="005E64AA"/>
    <w:rsid w:val="005F0968"/>
    <w:rsid w:val="005F3EE3"/>
    <w:rsid w:val="00605150"/>
    <w:rsid w:val="00610506"/>
    <w:rsid w:val="006135B1"/>
    <w:rsid w:val="006169B8"/>
    <w:rsid w:val="00630608"/>
    <w:rsid w:val="006317AB"/>
    <w:rsid w:val="00633610"/>
    <w:rsid w:val="006342A8"/>
    <w:rsid w:val="006350AB"/>
    <w:rsid w:val="006365B5"/>
    <w:rsid w:val="00637ADC"/>
    <w:rsid w:val="006421E5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2874"/>
    <w:rsid w:val="00814FC5"/>
    <w:rsid w:val="00821DFE"/>
    <w:rsid w:val="008347E9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42F7"/>
    <w:rsid w:val="008F7084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1BE5"/>
    <w:rsid w:val="00A22C1A"/>
    <w:rsid w:val="00A25D53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03570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1176"/>
    <w:rsid w:val="00C257ED"/>
    <w:rsid w:val="00C407D4"/>
    <w:rsid w:val="00C50E69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A2D3F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5F2E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C7019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8</cp:revision>
  <cp:lastPrinted>2020-12-30T10:28:00Z</cp:lastPrinted>
  <dcterms:created xsi:type="dcterms:W3CDTF">2021-02-03T10:33:00Z</dcterms:created>
  <dcterms:modified xsi:type="dcterms:W3CDTF">2021-03-02T02:30:00Z</dcterms:modified>
</cp:coreProperties>
</file>