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A21E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“乾元-私享”2020年第128期私人银行人民币理财产品</w:t>
      </w:r>
      <w:r w:rsidR="00F842A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4A21E1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“乾元-私享”2020年第128期私人银行人民币理财产品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13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4A21E1">
        <w:rPr>
          <w:rFonts w:asciiTheme="minorEastAsia" w:eastAsiaTheme="minorEastAsia" w:hAnsiTheme="minorEastAsia"/>
          <w:color w:val="000000"/>
          <w:sz w:val="28"/>
          <w:szCs w:val="28"/>
        </w:rPr>
        <w:t>36,452.00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4A21E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238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4A21E1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57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401"/>
        <w:gridCol w:w="1400"/>
        <w:gridCol w:w="1401"/>
        <w:gridCol w:w="1308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A21E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“乾元-私享”2020年第128期私人银行人民币理财产品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C50E69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0E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2020/8/10</w:t>
            </w:r>
          </w:p>
        </w:tc>
        <w:tc>
          <w:tcPr>
            <w:tcW w:w="1417" w:type="dxa"/>
            <w:vAlign w:val="center"/>
          </w:tcPr>
          <w:p w:rsidR="00E31B0A" w:rsidRPr="00E31B0A" w:rsidRDefault="00C50E69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0E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2020/8/12</w:t>
            </w:r>
          </w:p>
        </w:tc>
        <w:tc>
          <w:tcPr>
            <w:tcW w:w="1418" w:type="dxa"/>
            <w:vAlign w:val="center"/>
          </w:tcPr>
          <w:p w:rsidR="00E31B0A" w:rsidRPr="00E31B0A" w:rsidRDefault="00C50E69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0E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2020/8/13</w:t>
            </w:r>
          </w:p>
        </w:tc>
        <w:tc>
          <w:tcPr>
            <w:tcW w:w="1326" w:type="dxa"/>
            <w:vAlign w:val="center"/>
          </w:tcPr>
          <w:p w:rsidR="00E31B0A" w:rsidRPr="00E31B0A" w:rsidRDefault="00C50E69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50E6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C50E69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71,702,022.06</w:t>
            </w:r>
          </w:p>
        </w:tc>
        <w:tc>
          <w:tcPr>
            <w:tcW w:w="1559" w:type="dxa"/>
            <w:vAlign w:val="center"/>
          </w:tcPr>
          <w:p w:rsidR="00C50E69" w:rsidRPr="002E75ED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19.07%</w:t>
            </w:r>
          </w:p>
        </w:tc>
        <w:tc>
          <w:tcPr>
            <w:tcW w:w="1701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71,702,022.06</w:t>
            </w:r>
          </w:p>
        </w:tc>
        <w:tc>
          <w:tcPr>
            <w:tcW w:w="1559" w:type="dxa"/>
            <w:vAlign w:val="center"/>
          </w:tcPr>
          <w:p w:rsidR="00C50E69" w:rsidRPr="002E75ED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19.07%</w:t>
            </w:r>
          </w:p>
        </w:tc>
      </w:tr>
      <w:tr w:rsidR="00C50E69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105,751,666.67</w:t>
            </w:r>
          </w:p>
        </w:tc>
        <w:tc>
          <w:tcPr>
            <w:tcW w:w="1559" w:type="dxa"/>
            <w:vAlign w:val="center"/>
          </w:tcPr>
          <w:p w:rsidR="00C50E69" w:rsidRPr="002E75ED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28.12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105,751,666.67</w:t>
            </w:r>
          </w:p>
        </w:tc>
        <w:tc>
          <w:tcPr>
            <w:tcW w:w="1559" w:type="dxa"/>
            <w:vAlign w:val="center"/>
          </w:tcPr>
          <w:p w:rsidR="00C50E69" w:rsidRPr="002E75ED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28.12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C50E69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C50E69" w:rsidRPr="005E64AA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 w:hint="eastAsia"/>
                <w:kern w:val="0"/>
              </w:rPr>
              <w:t>同业存单</w:t>
            </w:r>
          </w:p>
        </w:tc>
        <w:tc>
          <w:tcPr>
            <w:tcW w:w="1701" w:type="dxa"/>
            <w:vAlign w:val="center"/>
          </w:tcPr>
          <w:p w:rsidR="00C50E69" w:rsidRPr="001D7934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198,580,962.88</w:t>
            </w:r>
          </w:p>
        </w:tc>
        <w:tc>
          <w:tcPr>
            <w:tcW w:w="1559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52.81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C50E69" w:rsidRPr="001D7934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198,580,962.88</w:t>
            </w:r>
          </w:p>
        </w:tc>
        <w:tc>
          <w:tcPr>
            <w:tcW w:w="1559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52.81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C50E69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376,034,651.61</w:t>
            </w:r>
          </w:p>
        </w:tc>
        <w:tc>
          <w:tcPr>
            <w:tcW w:w="1559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376,034,651.61</w:t>
            </w:r>
          </w:p>
        </w:tc>
        <w:tc>
          <w:tcPr>
            <w:tcW w:w="1559" w:type="dxa"/>
            <w:vAlign w:val="center"/>
          </w:tcPr>
          <w:p w:rsidR="00C50E69" w:rsidRDefault="00C50E69" w:rsidP="00C50E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6021A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6021A" w:rsidRDefault="0056021A" w:rsidP="005602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56021A" w:rsidRPr="00ED1412" w:rsidRDefault="0056021A" w:rsidP="0056021A">
            <w:pPr>
              <w:jc w:val="center"/>
              <w:rPr>
                <w:rFonts w:asciiTheme="minorEastAsia" w:eastAsiaTheme="minorEastAsia" w:hAnsiTheme="minorEastAsia"/>
              </w:rPr>
            </w:pPr>
            <w:r w:rsidRPr="0056021A">
              <w:rPr>
                <w:rFonts w:asciiTheme="minorEastAsia" w:eastAsiaTheme="minorEastAsia" w:hAnsiTheme="minorEastAsia" w:hint="eastAsia"/>
              </w:rPr>
              <w:t>17深嘉霖OB001</w:t>
            </w:r>
          </w:p>
        </w:tc>
        <w:tc>
          <w:tcPr>
            <w:tcW w:w="1785" w:type="dxa"/>
            <w:vAlign w:val="center"/>
          </w:tcPr>
          <w:p w:rsidR="0056021A" w:rsidRDefault="0056021A" w:rsidP="0056021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105,751,666.67</w:t>
            </w:r>
          </w:p>
        </w:tc>
        <w:tc>
          <w:tcPr>
            <w:tcW w:w="1721" w:type="dxa"/>
            <w:vAlign w:val="center"/>
          </w:tcPr>
          <w:p w:rsidR="0056021A" w:rsidRPr="002E75ED" w:rsidRDefault="0056021A" w:rsidP="0056021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28.12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56021A" w:rsidRPr="00437C59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:rsidR="0056021A" w:rsidRDefault="0056021A" w:rsidP="005602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56021A" w:rsidRPr="00C720CE" w:rsidRDefault="0056021A" w:rsidP="0056021A">
            <w:pPr>
              <w:jc w:val="center"/>
              <w:rPr>
                <w:rFonts w:asciiTheme="minorEastAsia" w:eastAsiaTheme="minorEastAsia" w:hAnsiTheme="minorEastAsia"/>
              </w:rPr>
            </w:pPr>
            <w:r w:rsidRPr="0056021A">
              <w:rPr>
                <w:rFonts w:asciiTheme="minorEastAsia" w:eastAsiaTheme="minorEastAsia" w:hAnsiTheme="minorEastAsia" w:hint="eastAsia"/>
              </w:rPr>
              <w:t>20民生银行CD182</w:t>
            </w:r>
          </w:p>
        </w:tc>
        <w:tc>
          <w:tcPr>
            <w:tcW w:w="1785" w:type="dxa"/>
            <w:vAlign w:val="center"/>
          </w:tcPr>
          <w:p w:rsidR="0056021A" w:rsidRPr="001D7934" w:rsidRDefault="0056021A" w:rsidP="0056021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50E69">
              <w:rPr>
                <w:rFonts w:ascii="宋体" w:hAnsi="宋体" w:cs="宋体"/>
                <w:kern w:val="0"/>
              </w:rPr>
              <w:t>198,580,962.88</w:t>
            </w:r>
          </w:p>
        </w:tc>
        <w:tc>
          <w:tcPr>
            <w:tcW w:w="1721" w:type="dxa"/>
            <w:vAlign w:val="center"/>
          </w:tcPr>
          <w:p w:rsidR="0056021A" w:rsidRDefault="0056021A" w:rsidP="0056021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52.81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F842A8" w:rsidRDefault="00F842A8" w:rsidP="00F842A8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A21E1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128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56021A" w:rsidRPr="0056021A">
        <w:rPr>
          <w:rFonts w:ascii="宋体" w:hAnsi="宋体" w:hint="eastAsia"/>
          <w:color w:val="000000"/>
          <w:szCs w:val="21"/>
        </w:rPr>
        <w:t>“乾元-私享”</w:t>
      </w:r>
      <w:r w:rsidR="004A21E1">
        <w:rPr>
          <w:rFonts w:ascii="宋体" w:hAnsi="宋体" w:hint="eastAsia"/>
          <w:color w:val="000000"/>
          <w:szCs w:val="21"/>
        </w:rPr>
        <w:t>2020年第128期私人银行人民币理财产品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6021A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深圳市嘉霖世纪实业有限公司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21A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17深嘉霖OB001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021A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/>
                <w:color w:val="000000"/>
              </w:rPr>
              <w:t>574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21A" w:rsidRDefault="0056021A" w:rsidP="0056021A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B03570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中国民生银行股份有限公司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570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20民生银行CD182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56021A" w:rsidRDefault="0056021A" w:rsidP="0056021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6021A">
              <w:rPr>
                <w:rFonts w:asciiTheme="minorEastAsia" w:eastAsiaTheme="minorEastAsia" w:hAnsiTheme="minorEastAsia"/>
                <w:color w:val="000000"/>
              </w:rPr>
              <w:t>116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570" w:rsidRDefault="00B03570" w:rsidP="00B03570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28" w:rsidRDefault="00455728" w:rsidP="00747E15">
      <w:r>
        <w:separator/>
      </w:r>
    </w:p>
  </w:endnote>
  <w:endnote w:type="continuationSeparator" w:id="0">
    <w:p w:rsidR="00455728" w:rsidRDefault="0045572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28" w:rsidRDefault="00455728" w:rsidP="00747E15">
      <w:r>
        <w:separator/>
      </w:r>
    </w:p>
  </w:footnote>
  <w:footnote w:type="continuationSeparator" w:id="0">
    <w:p w:rsidR="00455728" w:rsidRDefault="0045572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55728"/>
    <w:rsid w:val="00466EA0"/>
    <w:rsid w:val="00467A3A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021A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D1AD0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42A8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6</cp:revision>
  <cp:lastPrinted>2020-12-30T10:28:00Z</cp:lastPrinted>
  <dcterms:created xsi:type="dcterms:W3CDTF">2021-02-03T10:20:00Z</dcterms:created>
  <dcterms:modified xsi:type="dcterms:W3CDTF">2021-03-02T02:33:00Z</dcterms:modified>
</cp:coreProperties>
</file>