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6A285C">
        <w:rPr>
          <w:rFonts w:asciiTheme="minorEastAsia" w:eastAsiaTheme="minorEastAsia" w:hAnsiTheme="minorEastAsia"/>
          <w:b/>
          <w:color w:val="000000"/>
          <w:sz w:val="32"/>
          <w:szCs w:val="32"/>
        </w:rPr>
        <w:t>9</w:t>
      </w:r>
      <w:r w:rsidR="00E35935">
        <w:rPr>
          <w:rFonts w:asciiTheme="minorEastAsia" w:eastAsiaTheme="minorEastAsia" w:hAnsiTheme="minorEastAsia"/>
          <w:b/>
          <w:color w:val="000000"/>
          <w:sz w:val="32"/>
          <w:szCs w:val="32"/>
        </w:rPr>
        <w:t>5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</w:t>
      </w:r>
      <w:r w:rsidR="00E35935"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C301E3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E35935">
        <w:rPr>
          <w:rFonts w:asciiTheme="minorEastAsia" w:eastAsiaTheme="minorEastAsia" w:hAnsiTheme="minorEastAsia"/>
          <w:color w:val="000000"/>
          <w:sz w:val="28"/>
          <w:szCs w:val="28"/>
        </w:rPr>
        <w:t>17988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E3593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306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E3593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E35935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E35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DA2B1D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AE7967">
              <w:rPr>
                <w:rFonts w:asciiTheme="minorEastAsia" w:eastAsiaTheme="minorEastAsia" w:hAnsiTheme="minorEastAsia"/>
                <w:szCs w:val="21"/>
              </w:rPr>
              <w:t>9</w:t>
            </w:r>
            <w:r w:rsidR="00E35935">
              <w:rPr>
                <w:rFonts w:asciiTheme="minorEastAsia" w:eastAsiaTheme="minorEastAsia" w:hAnsiTheme="minorEastAsia"/>
                <w:szCs w:val="21"/>
              </w:rPr>
              <w:t>5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C301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C301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C301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E359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E35935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E3593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662"/>
        <w:gridCol w:w="1599"/>
        <w:gridCol w:w="1842"/>
      </w:tblGrid>
      <w:tr w:rsidR="005204A8" w:rsidTr="00950609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E35935" w:rsidTr="00D374B8">
        <w:trPr>
          <w:trHeight w:val="285"/>
          <w:jc w:val="center"/>
        </w:trPr>
        <w:tc>
          <w:tcPr>
            <w:tcW w:w="2224" w:type="dxa"/>
            <w:vAlign w:val="center"/>
          </w:tcPr>
          <w:p w:rsidR="00E35935" w:rsidRDefault="00E35935" w:rsidP="00E35935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68442</w:t>
            </w:r>
            <w:r w:rsidRPr="00E35935">
              <w:rPr>
                <w:rFonts w:ascii="宋体" w:hAnsi="宋体" w:cs="宋体"/>
                <w:kern w:val="0"/>
              </w:rPr>
              <w:t>326.46</w:t>
            </w:r>
          </w:p>
        </w:tc>
        <w:tc>
          <w:tcPr>
            <w:tcW w:w="1662" w:type="dxa"/>
            <w:vAlign w:val="center"/>
          </w:tcPr>
          <w:p w:rsidR="00E35935" w:rsidRP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 w:hint="eastAsia"/>
                <w:kern w:val="0"/>
              </w:rPr>
              <w:t>37.62%</w:t>
            </w:r>
          </w:p>
        </w:tc>
        <w:tc>
          <w:tcPr>
            <w:tcW w:w="1599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68442</w:t>
            </w:r>
            <w:r w:rsidRPr="00E35935">
              <w:rPr>
                <w:rFonts w:ascii="宋体" w:hAnsi="宋体" w:cs="宋体"/>
                <w:kern w:val="0"/>
              </w:rPr>
              <w:t>326.46</w:t>
            </w:r>
          </w:p>
        </w:tc>
        <w:tc>
          <w:tcPr>
            <w:tcW w:w="1842" w:type="dxa"/>
            <w:vAlign w:val="center"/>
          </w:tcPr>
          <w:p w:rsidR="00E35935" w:rsidRP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 w:hint="eastAsia"/>
                <w:kern w:val="0"/>
              </w:rPr>
              <w:t>37.62%</w:t>
            </w:r>
          </w:p>
        </w:tc>
      </w:tr>
      <w:tr w:rsidR="00E35935" w:rsidTr="00D374B8">
        <w:trPr>
          <w:trHeight w:val="285"/>
          <w:jc w:val="center"/>
        </w:trPr>
        <w:tc>
          <w:tcPr>
            <w:tcW w:w="2224" w:type="dxa"/>
            <w:vAlign w:val="center"/>
          </w:tcPr>
          <w:p w:rsidR="00E35935" w:rsidRDefault="00E35935" w:rsidP="00E3593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740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/>
                <w:kern w:val="0"/>
              </w:rPr>
              <w:t>113500000</w:t>
            </w:r>
          </w:p>
        </w:tc>
        <w:tc>
          <w:tcPr>
            <w:tcW w:w="1662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E35935"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hint="eastAsia"/>
                <w:color w:val="000000"/>
                <w:sz w:val="22"/>
              </w:rPr>
              <w:t>2.38%</w:t>
            </w:r>
          </w:p>
        </w:tc>
        <w:tc>
          <w:tcPr>
            <w:tcW w:w="1599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/>
                <w:kern w:val="0"/>
              </w:rPr>
              <w:t>113500000</w:t>
            </w:r>
          </w:p>
        </w:tc>
        <w:tc>
          <w:tcPr>
            <w:tcW w:w="1842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E35935"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hint="eastAsia"/>
                <w:color w:val="000000"/>
                <w:sz w:val="22"/>
              </w:rPr>
              <w:t>2.38%</w:t>
            </w:r>
          </w:p>
        </w:tc>
      </w:tr>
      <w:tr w:rsidR="00E35935" w:rsidTr="005B5524">
        <w:trPr>
          <w:trHeight w:val="285"/>
          <w:jc w:val="center"/>
        </w:trPr>
        <w:tc>
          <w:tcPr>
            <w:tcW w:w="2224" w:type="dxa"/>
            <w:vAlign w:val="center"/>
          </w:tcPr>
          <w:p w:rsidR="00E35935" w:rsidRDefault="00E35935" w:rsidP="00E35935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740" w:type="dxa"/>
            <w:vAlign w:val="center"/>
          </w:tcPr>
          <w:p w:rsidR="00E35935" w:rsidRDefault="00E35935" w:rsidP="00E3593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/>
                <w:kern w:val="0"/>
              </w:rPr>
              <w:t>181942326.46</w:t>
            </w:r>
          </w:p>
        </w:tc>
        <w:tc>
          <w:tcPr>
            <w:tcW w:w="1662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599" w:type="dxa"/>
            <w:vAlign w:val="center"/>
          </w:tcPr>
          <w:p w:rsidR="00E35935" w:rsidRDefault="00E35935" w:rsidP="00E35935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/>
                <w:kern w:val="0"/>
              </w:rPr>
              <w:t>181942326.46</w:t>
            </w:r>
          </w:p>
        </w:tc>
        <w:tc>
          <w:tcPr>
            <w:tcW w:w="1842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E35935" w:rsidRPr="00437C59" w:rsidTr="002B0001">
        <w:trPr>
          <w:trHeight w:val="496"/>
          <w:jc w:val="center"/>
        </w:trPr>
        <w:tc>
          <w:tcPr>
            <w:tcW w:w="1270" w:type="dxa"/>
            <w:vAlign w:val="center"/>
          </w:tcPr>
          <w:p w:rsidR="00E35935" w:rsidRPr="00C720CE" w:rsidRDefault="00E35935" w:rsidP="00E3593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E35935" w:rsidRPr="00C720CE" w:rsidRDefault="00E35935" w:rsidP="00E35935">
            <w:pPr>
              <w:jc w:val="center"/>
              <w:rPr>
                <w:rFonts w:asciiTheme="minorEastAsia" w:eastAsiaTheme="minorEastAsia" w:hAnsiTheme="minorEastAsia"/>
              </w:rPr>
            </w:pPr>
            <w:r w:rsidRPr="00E35935">
              <w:rPr>
                <w:rFonts w:asciiTheme="minorEastAsia" w:eastAsiaTheme="minorEastAsia" w:hAnsiTheme="minorEastAsia" w:hint="eastAsia"/>
              </w:rPr>
              <w:t>17铁路基金EB001</w:t>
            </w:r>
          </w:p>
        </w:tc>
        <w:tc>
          <w:tcPr>
            <w:tcW w:w="1800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/>
                <w:kern w:val="0"/>
              </w:rPr>
              <w:t>113500000</w:t>
            </w:r>
          </w:p>
        </w:tc>
        <w:tc>
          <w:tcPr>
            <w:tcW w:w="1762" w:type="dxa"/>
            <w:vAlign w:val="center"/>
          </w:tcPr>
          <w:p w:rsidR="00E35935" w:rsidRDefault="00E35935" w:rsidP="00E35935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E35935"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hint="eastAsia"/>
                <w:color w:val="000000"/>
                <w:sz w:val="22"/>
              </w:rPr>
              <w:t>2.38%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E35935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35935">
              <w:rPr>
                <w:rFonts w:ascii="宋体" w:hAnsi="宋体" w:cs="宋体"/>
                <w:kern w:val="0"/>
              </w:rPr>
              <w:t>44050186320100001363-1117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27113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Pr="00AD7F85">
        <w:rPr>
          <w:rFonts w:hint="eastAsia"/>
          <w:b/>
          <w:color w:val="000000"/>
          <w:sz w:val="24"/>
          <w:szCs w:val="24"/>
        </w:rPr>
        <w:t>9</w:t>
      </w:r>
      <w:r w:rsidR="00E35935">
        <w:rPr>
          <w:b/>
          <w:color w:val="000000"/>
          <w:sz w:val="24"/>
          <w:szCs w:val="24"/>
        </w:rPr>
        <w:t>5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“乾元-私享”2020年第9</w:t>
      </w:r>
      <w:r w:rsidR="00E35935">
        <w:rPr>
          <w:rFonts w:ascii="宋体" w:hAnsi="宋体"/>
          <w:color w:val="000000"/>
          <w:szCs w:val="21"/>
        </w:rPr>
        <w:t>5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35935" w:rsidP="005A08AB">
            <w:pPr>
              <w:jc w:val="center"/>
            </w:pPr>
            <w:r w:rsidRPr="00E35935">
              <w:rPr>
                <w:rFonts w:hint="eastAsia"/>
              </w:rPr>
              <w:t>股权投资类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35935" w:rsidP="005A08AB">
            <w:pPr>
              <w:jc w:val="center"/>
            </w:pPr>
            <w:r w:rsidRPr="00E35935">
              <w:rPr>
                <w:rFonts w:hint="eastAsia"/>
              </w:rPr>
              <w:t>安徽省投资集团控股有限公司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E35935" w:rsidP="005A08AB">
            <w:pPr>
              <w:jc w:val="center"/>
            </w:pPr>
            <w:r w:rsidRPr="00E35935">
              <w:rPr>
                <w:rFonts w:hint="eastAsia"/>
              </w:rPr>
              <w:t>17</w:t>
            </w:r>
            <w:r w:rsidRPr="00E35935">
              <w:rPr>
                <w:rFonts w:hint="eastAsia"/>
              </w:rPr>
              <w:t>铁路基金</w:t>
            </w:r>
            <w:r w:rsidRPr="00E35935">
              <w:rPr>
                <w:rFonts w:hint="eastAsia"/>
              </w:rPr>
              <w:t>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35935" w:rsidP="00AD7F85">
            <w:pPr>
              <w:jc w:val="center"/>
            </w:pPr>
            <w:r>
              <w:t>785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2A" w:rsidRDefault="005E282A" w:rsidP="00747E15">
      <w:r>
        <w:separator/>
      </w:r>
    </w:p>
  </w:endnote>
  <w:endnote w:type="continuationSeparator" w:id="0">
    <w:p w:rsidR="005E282A" w:rsidRDefault="005E282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2A" w:rsidRDefault="005E282A" w:rsidP="00747E15">
      <w:r>
        <w:separator/>
      </w:r>
    </w:p>
  </w:footnote>
  <w:footnote w:type="continuationSeparator" w:id="0">
    <w:p w:rsidR="005E282A" w:rsidRDefault="005E282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30DE"/>
    <w:rsid w:val="000A1200"/>
    <w:rsid w:val="000A58C0"/>
    <w:rsid w:val="000A7A07"/>
    <w:rsid w:val="000B2257"/>
    <w:rsid w:val="000B6D04"/>
    <w:rsid w:val="000F4B32"/>
    <w:rsid w:val="000F4ED6"/>
    <w:rsid w:val="000F5E7E"/>
    <w:rsid w:val="00106270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27113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C491D"/>
    <w:rsid w:val="005D075A"/>
    <w:rsid w:val="005E1AF9"/>
    <w:rsid w:val="005E282A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76F46"/>
    <w:rsid w:val="00E77447"/>
    <w:rsid w:val="00EA1F92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26</cp:revision>
  <cp:lastPrinted>2019-01-03T08:39:00Z</cp:lastPrinted>
  <dcterms:created xsi:type="dcterms:W3CDTF">2020-04-10T09:55:00Z</dcterms:created>
  <dcterms:modified xsi:type="dcterms:W3CDTF">2020-10-28T12:23:00Z</dcterms:modified>
</cp:coreProperties>
</file>